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72" w:type="dxa"/>
        <w:tblBorders>
          <w:top w:val="nil"/>
          <w:bottom w:val="nil"/>
          <w:insideH w:val="nil"/>
          <w:insideV w:val="nil"/>
        </w:tblBorders>
        <w:tblCellMar>
          <w:left w:w="0" w:type="dxa"/>
          <w:right w:w="0" w:type="dxa"/>
        </w:tblCellMar>
        <w:tblLook w:val="04A0" w:firstRow="1" w:lastRow="0" w:firstColumn="1" w:lastColumn="0" w:noHBand="0" w:noVBand="1"/>
      </w:tblPr>
      <w:tblGrid>
        <w:gridCol w:w="3119"/>
        <w:gridCol w:w="5953"/>
      </w:tblGrid>
      <w:tr w:rsidR="00F72681" w:rsidRPr="00F0257E" w14:paraId="36277D9D" w14:textId="77777777" w:rsidTr="006E7B32">
        <w:tc>
          <w:tcPr>
            <w:tcW w:w="3119" w:type="dxa"/>
            <w:tcBorders>
              <w:top w:val="nil"/>
              <w:left w:val="nil"/>
              <w:bottom w:val="nil"/>
              <w:right w:val="nil"/>
              <w:tl2br w:val="nil"/>
              <w:tr2bl w:val="nil"/>
            </w:tcBorders>
            <w:tcMar>
              <w:top w:w="0" w:type="dxa"/>
              <w:left w:w="108" w:type="dxa"/>
              <w:bottom w:w="0" w:type="dxa"/>
              <w:right w:w="108" w:type="dxa"/>
            </w:tcMar>
          </w:tcPr>
          <w:p w14:paraId="4F6226A6" w14:textId="77777777" w:rsidR="00F72681" w:rsidRPr="00F0257E" w:rsidRDefault="00F72681" w:rsidP="006E7B32">
            <w:pPr>
              <w:jc w:val="center"/>
              <w:rPr>
                <w:sz w:val="26"/>
                <w:szCs w:val="26"/>
                <w:highlight w:val="white"/>
              </w:rPr>
            </w:pPr>
            <w:r w:rsidRPr="00F0257E">
              <w:rPr>
                <w:b/>
                <w:bCs/>
                <w:noProof/>
                <w:sz w:val="26"/>
                <w:szCs w:val="26"/>
                <w:highlight w:val="white"/>
              </w:rPr>
              <mc:AlternateContent>
                <mc:Choice Requires="wps">
                  <w:drawing>
                    <wp:anchor distT="0" distB="0" distL="114300" distR="114300" simplePos="0" relativeHeight="251659264" behindDoc="0" locked="0" layoutInCell="1" allowOverlap="1" wp14:anchorId="0AD70B45" wp14:editId="76D80139">
                      <wp:simplePos x="0" y="0"/>
                      <wp:positionH relativeFrom="column">
                        <wp:posOffset>539115</wp:posOffset>
                      </wp:positionH>
                      <wp:positionV relativeFrom="paragraph">
                        <wp:posOffset>422275</wp:posOffset>
                      </wp:positionV>
                      <wp:extent cx="791845" cy="0"/>
                      <wp:effectExtent l="9525" t="8890" r="8255" b="1016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18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2EC5E0" id="_x0000_t32" coordsize="21600,21600" o:spt="32" o:oned="t" path="m,l21600,21600e" filled="f">
                      <v:path arrowok="t" fillok="f" o:connecttype="none"/>
                      <o:lock v:ext="edit" shapetype="t"/>
                    </v:shapetype>
                    <v:shape id="Straight Arrow Connector 4" o:spid="_x0000_s1026" type="#_x0000_t32" style="position:absolute;margin-left:42.45pt;margin-top:33.25pt;width:62.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c0AEAAIoDAAAOAAAAZHJzL2Uyb0RvYy54bWysU8GO0zAQvSPxD5bvNE3Vwm7UdIW6LJcF&#10;KnX5gKntJBaOxxq7Tfr32G5aFrghcrBsj+fNe28m64exN+ykyGu0NS9nc86UFSi1bWv+/eXp3R1n&#10;PoCVYNCqmp+V5w+bt2/Wg6vUAjs0UhGLINZXg6t5F4KrisKLTvXgZ+iUjcEGqYcQj9QWkmCI6L0p&#10;FvP5+2JAko5QKO/j7eMlyDcZv2mUCN+axqvATM0jt5BXyushrcVmDVVL4DotJhrwDyx60DYWvUE9&#10;QgB2JP0XVK8FoccmzAT2BTaNFipriGrK+R9q9h04lbVEc7y72eT/H6z4etoR07LmS84s9LFF+0Cg&#10;2y6wj0Q4sC1aG21EYsvk1uB8FZO2dkdJrxjt3j2j+OGZxW0HtlWZ9cvZRagyZRS/paSDd7HmYfiC&#10;Mr6BY8Bs3dhQnyCjKWzMHTrfOqTGwES8/HBf3i1XnIlrqIDqmufIh88Ke5Y2NfeTjBv/MleB07MP&#10;iRVU14RU1OKTNiZPg7FsqPn9arHKCR6NlimYnnlqD1tD7ARpnvKXJcbI62eERyszWKdAfpr2AbS5&#10;7GNxYydnkhkXWw8ozzu6OhYbnllOw5km6vU5Z//6hTY/AQAA//8DAFBLAwQUAAYACAAAACEAA7QR&#10;uN0AAAAIAQAADwAAAGRycy9kb3ducmV2LnhtbEyPwU7DMBBE70j8g7VIXBC1G9GoSbOpKiQOHGkr&#10;cXXjJUmJ11HsNKFfjxEHOM7OaOZtsZ1tJy40+NYxwnKhQBBXzrRcIxwPL49rED5oNrpzTAhf5GFb&#10;3t4UOjdu4je67EMtYgn7XCM0IfS5lL5qyGq/cD1x9D7cYHWIcqilGfQUy20nE6VSaXXLcaHRPT03&#10;VH3uR4tAflwt1S6z9fH1Oj28J9fz1B8Q7+/m3QZEoDn8heEHP6JDGZlObmTjRYewfspiEiFNVyCi&#10;n6gsBXH6PciykP8fKL8BAAD//wMAUEsBAi0AFAAGAAgAAAAhALaDOJL+AAAA4QEAABMAAAAAAAAA&#10;AAAAAAAAAAAAAFtDb250ZW50X1R5cGVzXS54bWxQSwECLQAUAAYACAAAACEAOP0h/9YAAACUAQAA&#10;CwAAAAAAAAAAAAAAAAAvAQAAX3JlbHMvLnJlbHNQSwECLQAUAAYACAAAACEAfhLnHNABAACKAwAA&#10;DgAAAAAAAAAAAAAAAAAuAgAAZHJzL2Uyb0RvYy54bWxQSwECLQAUAAYACAAAACEAA7QRuN0AAAAI&#10;AQAADwAAAAAAAAAAAAAAAAAqBAAAZHJzL2Rvd25yZXYueG1sUEsFBgAAAAAEAAQA8wAAADQFAAAA&#10;AA==&#10;"/>
                  </w:pict>
                </mc:Fallback>
              </mc:AlternateContent>
            </w:r>
            <w:r w:rsidRPr="00F0257E">
              <w:rPr>
                <w:b/>
                <w:bCs/>
                <w:sz w:val="26"/>
                <w:szCs w:val="26"/>
                <w:highlight w:val="white"/>
              </w:rPr>
              <w:t>ỦY BAN</w:t>
            </w:r>
            <w:r w:rsidRPr="00F0257E">
              <w:rPr>
                <w:b/>
                <w:bCs/>
                <w:sz w:val="26"/>
                <w:szCs w:val="26"/>
                <w:highlight w:val="white"/>
                <w:lang w:val="vi-VN"/>
              </w:rPr>
              <w:t xml:space="preserve"> NHÂN DÂN</w:t>
            </w:r>
            <w:r w:rsidRPr="00F0257E">
              <w:rPr>
                <w:b/>
                <w:bCs/>
                <w:sz w:val="26"/>
                <w:szCs w:val="26"/>
                <w:highlight w:val="white"/>
                <w:lang w:val="vi-VN"/>
              </w:rPr>
              <w:br/>
              <w:t xml:space="preserve">TỈNH </w:t>
            </w:r>
            <w:r>
              <w:rPr>
                <w:b/>
                <w:bCs/>
                <w:sz w:val="26"/>
                <w:szCs w:val="26"/>
                <w:highlight w:val="white"/>
              </w:rPr>
              <w:t>QUẢNG NGÃI</w:t>
            </w:r>
            <w:r w:rsidRPr="00F0257E">
              <w:rPr>
                <w:b/>
                <w:bCs/>
                <w:sz w:val="26"/>
                <w:szCs w:val="26"/>
                <w:highlight w:val="white"/>
                <w:lang w:val="vi-VN"/>
              </w:rPr>
              <w:br/>
            </w:r>
          </w:p>
        </w:tc>
        <w:tc>
          <w:tcPr>
            <w:tcW w:w="5953" w:type="dxa"/>
            <w:tcBorders>
              <w:top w:val="nil"/>
              <w:left w:val="nil"/>
              <w:bottom w:val="nil"/>
              <w:right w:val="nil"/>
              <w:tl2br w:val="nil"/>
              <w:tr2bl w:val="nil"/>
            </w:tcBorders>
            <w:tcMar>
              <w:top w:w="0" w:type="dxa"/>
              <w:left w:w="108" w:type="dxa"/>
              <w:bottom w:w="0" w:type="dxa"/>
              <w:right w:w="108" w:type="dxa"/>
            </w:tcMar>
          </w:tcPr>
          <w:p w14:paraId="03718C7E" w14:textId="77777777" w:rsidR="00F72681" w:rsidRPr="00F0257E" w:rsidRDefault="00F72681" w:rsidP="006E7B32">
            <w:pPr>
              <w:jc w:val="center"/>
              <w:rPr>
                <w:sz w:val="26"/>
                <w:szCs w:val="26"/>
                <w:highlight w:val="white"/>
              </w:rPr>
            </w:pPr>
            <w:r w:rsidRPr="00F0257E">
              <w:rPr>
                <w:b/>
                <w:bCs/>
                <w:noProof/>
                <w:sz w:val="26"/>
                <w:szCs w:val="26"/>
                <w:highlight w:val="white"/>
              </w:rPr>
              <mc:AlternateContent>
                <mc:Choice Requires="wps">
                  <w:drawing>
                    <wp:anchor distT="0" distB="0" distL="114300" distR="114300" simplePos="0" relativeHeight="251660288" behindDoc="0" locked="0" layoutInCell="1" allowOverlap="1" wp14:anchorId="57B3D986" wp14:editId="29ACC039">
                      <wp:simplePos x="0" y="0"/>
                      <wp:positionH relativeFrom="column">
                        <wp:posOffset>729615</wp:posOffset>
                      </wp:positionH>
                      <wp:positionV relativeFrom="paragraph">
                        <wp:posOffset>438150</wp:posOffset>
                      </wp:positionV>
                      <wp:extent cx="2160270" cy="0"/>
                      <wp:effectExtent l="0" t="0" r="0" b="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755530" id="Straight Arrow Connector 3" o:spid="_x0000_s1026" type="#_x0000_t32" style="position:absolute;margin-left:57.45pt;margin-top:34.5pt;width:170.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0H0QEAAIsDAAAOAAAAZHJzL2Uyb0RvYy54bWysU02P0zAQvSPxHyzfadqudoGo6Qp1WS4L&#10;VOryA6a2k1g4HmvsNu2/Z+x+7AI3RA6W7fF7M+/NZHF/GJzYG4oWfSNnk6kUxivU1neN/PH8+O6D&#10;FDGB1+DQm0YeTZT3y7dvFmOozRx7dNqQYBIf6zE0sk8p1FUVVW8GiBMMxnOwRRog8ZG6ShOMzD64&#10;aj6d3lUjkg6EysTItw+noFwW/rY1Kn1v22iScI3k2lJZqazbvFbLBdQdQeitOpcB/1DFANZz0ivV&#10;AyQQO7J/UQ1WEUZs00ThUGHbWmWKBlYzm/6hZtNDMEULmxPD1ab4/2jVt/2ahNWNvJHCw8At2iQC&#10;2/VJfCLCUazQe7YRSdxkt8YQawat/JqyXnXwm/CE6mcUHlc9+M6Uqp+PgalmGVH9BsmHGDjndvyK&#10;mt/ALmGx7tDSkCnZFHEoHTpeO2QOSSi+nM/upvP33Eh1iVVQX4CBYvpicBB508h41nEVMCtpYP8U&#10;Uy4L6gsgZ/X4aJ0r4+C8GBv58XZ+WwARndU5mJ9F6rYrR2IPeaDKVzRy5PUzwp3Xhaw3oD+f9wms&#10;O+05ufNna7IbJ1+3qI9ruljGHS9Vnqczj9Trc0G//EPLXwAAAP//AwBQSwMEFAAGAAgAAAAhALP3&#10;AHndAAAACQEAAA8AAABkcnMvZG93bnJldi54bWxMj81qwzAQhO+FvIPYQC+lkR3iUDuWQyj00GN+&#10;oFfF2thurZWx5NjN03dDD+1xZj9mZ/LtZFtxxd43jhTEiwgEUulMQ5WC0/Ht+QWED5qMbh2hgm/0&#10;sC1mD7nOjBtpj9dDqASHkM+0gjqELpPSlzVa7ReuQ+LbxfVWB5Z9JU2vRw63rVxG0Vpa3RB/qHWH&#10;rzWWX4fBKkA/JHG0S211er+NTx/L2+fYHZV6nE+7DYiAU/iD4V6fq0PBnc5uIONFyzpepYwqWKe8&#10;iYFVksQgzr+GLHL5f0HxAwAA//8DAFBLAQItABQABgAIAAAAIQC2gziS/gAAAOEBAAATAAAAAAAA&#10;AAAAAAAAAAAAAABbQ29udGVudF9UeXBlc10ueG1sUEsBAi0AFAAGAAgAAAAhADj9If/WAAAAlAEA&#10;AAsAAAAAAAAAAAAAAAAALwEAAF9yZWxzLy5yZWxzUEsBAi0AFAAGAAgAAAAhACYvDQfRAQAAiwMA&#10;AA4AAAAAAAAAAAAAAAAALgIAAGRycy9lMm9Eb2MueG1sUEsBAi0AFAAGAAgAAAAhALP3AHndAAAA&#10;CQEAAA8AAAAAAAAAAAAAAAAAKwQAAGRycy9kb3ducmV2LnhtbFBLBQYAAAAABAAEAPMAAAA1BQAA&#10;AAA=&#10;"/>
                  </w:pict>
                </mc:Fallback>
              </mc:AlternateContent>
            </w:r>
            <w:r w:rsidRPr="00F0257E">
              <w:rPr>
                <w:b/>
                <w:bCs/>
                <w:sz w:val="26"/>
                <w:szCs w:val="26"/>
                <w:highlight w:val="white"/>
                <w:lang w:val="vi-VN"/>
              </w:rPr>
              <w:t>CỘNG HÒA XÃ HỘI CHỦ NGHĨA VIỆT NAM</w:t>
            </w:r>
            <w:r w:rsidRPr="00F0257E">
              <w:rPr>
                <w:b/>
                <w:bCs/>
                <w:highlight w:val="white"/>
                <w:lang w:val="vi-VN"/>
              </w:rPr>
              <w:br/>
            </w:r>
            <w:r w:rsidRPr="00F0257E">
              <w:rPr>
                <w:b/>
                <w:bCs/>
                <w:sz w:val="28"/>
                <w:szCs w:val="28"/>
                <w:highlight w:val="white"/>
                <w:lang w:val="vi-VN"/>
              </w:rPr>
              <w:t>Độc lập - Tự do - Hạnh phúc</w:t>
            </w:r>
            <w:r w:rsidRPr="00F0257E">
              <w:rPr>
                <w:b/>
                <w:bCs/>
                <w:sz w:val="26"/>
                <w:szCs w:val="26"/>
                <w:highlight w:val="white"/>
                <w:lang w:val="vi-VN"/>
              </w:rPr>
              <w:t xml:space="preserve"> </w:t>
            </w:r>
            <w:r w:rsidRPr="00F0257E">
              <w:rPr>
                <w:b/>
                <w:bCs/>
                <w:sz w:val="26"/>
                <w:szCs w:val="26"/>
                <w:highlight w:val="white"/>
                <w:lang w:val="vi-VN"/>
              </w:rPr>
              <w:br/>
            </w:r>
          </w:p>
        </w:tc>
      </w:tr>
      <w:tr w:rsidR="00F72681" w:rsidRPr="00F0257E" w14:paraId="2D5C234F" w14:textId="77777777" w:rsidTr="006E7B32">
        <w:tblPrEx>
          <w:tblBorders>
            <w:top w:val="none" w:sz="0" w:space="0" w:color="auto"/>
            <w:bottom w:val="none" w:sz="0" w:space="0" w:color="auto"/>
            <w:insideH w:val="none" w:sz="0" w:space="0" w:color="auto"/>
            <w:insideV w:val="none" w:sz="0" w:space="0" w:color="auto"/>
          </w:tblBorders>
        </w:tblPrEx>
        <w:tc>
          <w:tcPr>
            <w:tcW w:w="3119" w:type="dxa"/>
            <w:tcBorders>
              <w:top w:val="nil"/>
              <w:left w:val="nil"/>
              <w:bottom w:val="nil"/>
              <w:right w:val="nil"/>
              <w:tl2br w:val="nil"/>
              <w:tr2bl w:val="nil"/>
            </w:tcBorders>
            <w:tcMar>
              <w:top w:w="0" w:type="dxa"/>
              <w:left w:w="108" w:type="dxa"/>
              <w:bottom w:w="0" w:type="dxa"/>
              <w:right w:w="108" w:type="dxa"/>
            </w:tcMar>
          </w:tcPr>
          <w:p w14:paraId="240AC096" w14:textId="77777777" w:rsidR="00F72681" w:rsidRPr="00F0257E" w:rsidRDefault="00F72681" w:rsidP="006E7B32">
            <w:pPr>
              <w:rPr>
                <w:sz w:val="26"/>
                <w:szCs w:val="26"/>
                <w:highlight w:val="white"/>
              </w:rPr>
            </w:pPr>
            <w:r w:rsidRPr="00F0257E">
              <w:rPr>
                <w:sz w:val="26"/>
                <w:szCs w:val="26"/>
                <w:highlight w:val="white"/>
                <w:lang w:val="vi-VN"/>
              </w:rPr>
              <w:t xml:space="preserve">Số: </w:t>
            </w:r>
            <w:r w:rsidRPr="00F0257E">
              <w:rPr>
                <w:sz w:val="26"/>
                <w:szCs w:val="26"/>
                <w:highlight w:val="white"/>
              </w:rPr>
              <w:t xml:space="preserve">     </w:t>
            </w:r>
            <w:r w:rsidRPr="00F0257E">
              <w:rPr>
                <w:sz w:val="26"/>
                <w:szCs w:val="26"/>
                <w:highlight w:val="white"/>
                <w:lang w:val="vi-VN"/>
              </w:rPr>
              <w:t>/20</w:t>
            </w:r>
            <w:r w:rsidRPr="00F0257E">
              <w:rPr>
                <w:sz w:val="26"/>
                <w:szCs w:val="26"/>
                <w:highlight w:val="white"/>
              </w:rPr>
              <w:t>2</w:t>
            </w:r>
            <w:r>
              <w:rPr>
                <w:sz w:val="26"/>
                <w:szCs w:val="26"/>
                <w:highlight w:val="white"/>
              </w:rPr>
              <w:t>5</w:t>
            </w:r>
            <w:r w:rsidRPr="00F0257E">
              <w:rPr>
                <w:sz w:val="26"/>
                <w:szCs w:val="26"/>
                <w:highlight w:val="white"/>
                <w:lang w:val="vi-VN"/>
              </w:rPr>
              <w:t>/</w:t>
            </w:r>
            <w:r w:rsidRPr="00F0257E">
              <w:rPr>
                <w:sz w:val="26"/>
                <w:szCs w:val="26"/>
                <w:highlight w:val="white"/>
              </w:rPr>
              <w:t>QĐ</w:t>
            </w:r>
            <w:r w:rsidRPr="00F0257E">
              <w:rPr>
                <w:sz w:val="26"/>
                <w:szCs w:val="26"/>
                <w:highlight w:val="white"/>
                <w:lang w:val="vi-VN"/>
              </w:rPr>
              <w:t>-</w:t>
            </w:r>
            <w:r w:rsidRPr="00F0257E">
              <w:rPr>
                <w:sz w:val="26"/>
                <w:szCs w:val="26"/>
                <w:highlight w:val="white"/>
              </w:rPr>
              <w:t>UBND</w:t>
            </w:r>
          </w:p>
        </w:tc>
        <w:tc>
          <w:tcPr>
            <w:tcW w:w="5953" w:type="dxa"/>
            <w:tcBorders>
              <w:top w:val="nil"/>
              <w:left w:val="nil"/>
              <w:bottom w:val="nil"/>
              <w:right w:val="nil"/>
              <w:tl2br w:val="nil"/>
              <w:tr2bl w:val="nil"/>
            </w:tcBorders>
            <w:tcMar>
              <w:top w:w="0" w:type="dxa"/>
              <w:left w:w="108" w:type="dxa"/>
              <w:bottom w:w="0" w:type="dxa"/>
              <w:right w:w="108" w:type="dxa"/>
            </w:tcMar>
          </w:tcPr>
          <w:p w14:paraId="4B8AF815" w14:textId="77777777" w:rsidR="00F72681" w:rsidRPr="00F0257E" w:rsidRDefault="00F72681" w:rsidP="006E7B32">
            <w:pPr>
              <w:ind w:right="176"/>
              <w:jc w:val="center"/>
              <w:rPr>
                <w:sz w:val="28"/>
                <w:szCs w:val="28"/>
                <w:highlight w:val="white"/>
              </w:rPr>
            </w:pPr>
            <w:r>
              <w:rPr>
                <w:i/>
                <w:iCs/>
                <w:sz w:val="28"/>
                <w:szCs w:val="28"/>
                <w:highlight w:val="white"/>
              </w:rPr>
              <w:t>Quảng Ngãi</w:t>
            </w:r>
            <w:r w:rsidRPr="00F0257E">
              <w:rPr>
                <w:i/>
                <w:iCs/>
                <w:sz w:val="28"/>
                <w:szCs w:val="28"/>
                <w:highlight w:val="white"/>
                <w:lang w:val="vi-VN"/>
              </w:rPr>
              <w:t xml:space="preserve">, ngày </w:t>
            </w:r>
            <w:r w:rsidRPr="00F0257E">
              <w:rPr>
                <w:i/>
                <w:iCs/>
                <w:sz w:val="28"/>
                <w:szCs w:val="28"/>
                <w:highlight w:val="white"/>
              </w:rPr>
              <w:t xml:space="preserve">  </w:t>
            </w:r>
            <w:r w:rsidRPr="00F0257E">
              <w:rPr>
                <w:i/>
                <w:iCs/>
                <w:sz w:val="28"/>
                <w:szCs w:val="28"/>
                <w:highlight w:val="white"/>
                <w:lang w:val="vi-VN"/>
              </w:rPr>
              <w:t xml:space="preserve"> tháng </w:t>
            </w:r>
            <w:r w:rsidRPr="00F0257E">
              <w:rPr>
                <w:i/>
                <w:iCs/>
                <w:sz w:val="28"/>
                <w:szCs w:val="28"/>
                <w:highlight w:val="white"/>
              </w:rPr>
              <w:t xml:space="preserve">   </w:t>
            </w:r>
            <w:r w:rsidRPr="00F0257E">
              <w:rPr>
                <w:i/>
                <w:iCs/>
                <w:sz w:val="28"/>
                <w:szCs w:val="28"/>
                <w:highlight w:val="white"/>
                <w:lang w:val="vi-VN"/>
              </w:rPr>
              <w:t xml:space="preserve"> năm     </w:t>
            </w:r>
          </w:p>
        </w:tc>
      </w:tr>
    </w:tbl>
    <w:p w14:paraId="42C353D5" w14:textId="77777777" w:rsidR="00F72681" w:rsidRPr="00F0257E" w:rsidRDefault="00F72681" w:rsidP="00F72681">
      <w:pPr>
        <w:spacing w:before="120"/>
        <w:jc w:val="center"/>
        <w:rPr>
          <w:b/>
          <w:bCs/>
          <w:sz w:val="28"/>
          <w:szCs w:val="28"/>
          <w:highlight w:val="white"/>
          <w:lang w:val="vi-VN"/>
        </w:rPr>
      </w:pPr>
      <w:r w:rsidRPr="00F0257E">
        <w:rPr>
          <w:noProof/>
          <w:highlight w:val="white"/>
        </w:rPr>
        <mc:AlternateContent>
          <mc:Choice Requires="wps">
            <w:drawing>
              <wp:anchor distT="0" distB="0" distL="114300" distR="114300" simplePos="0" relativeHeight="251662336" behindDoc="0" locked="0" layoutInCell="1" allowOverlap="1" wp14:anchorId="63571CAD" wp14:editId="1FF40E1D">
                <wp:simplePos x="0" y="0"/>
                <wp:positionH relativeFrom="column">
                  <wp:posOffset>-165735</wp:posOffset>
                </wp:positionH>
                <wp:positionV relativeFrom="paragraph">
                  <wp:posOffset>192267</wp:posOffset>
                </wp:positionV>
                <wp:extent cx="1645920" cy="310101"/>
                <wp:effectExtent l="0" t="0" r="1143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310101"/>
                        </a:xfrm>
                        <a:prstGeom prst="rect">
                          <a:avLst/>
                        </a:prstGeom>
                        <a:solidFill>
                          <a:srgbClr val="FFFFFF"/>
                        </a:solidFill>
                        <a:ln w="9525">
                          <a:solidFill>
                            <a:srgbClr val="000000"/>
                          </a:solidFill>
                          <a:miter lim="800000"/>
                          <a:headEnd/>
                          <a:tailEnd/>
                        </a:ln>
                      </wps:spPr>
                      <wps:txbx>
                        <w:txbxContent>
                          <w:p w14:paraId="483C6100" w14:textId="77777777" w:rsidR="00F72681" w:rsidRPr="006D3BA2" w:rsidRDefault="00F72681" w:rsidP="00F72681">
                            <w:pPr>
                              <w:jc w:val="center"/>
                              <w:rPr>
                                <w:b/>
                                <w:sz w:val="28"/>
                                <w:szCs w:val="28"/>
                              </w:rPr>
                            </w:pPr>
                            <w:r w:rsidRPr="006D3BA2">
                              <w:rPr>
                                <w:b/>
                                <w:sz w:val="28"/>
                                <w:szCs w:val="28"/>
                              </w:rPr>
                              <w:t>DỰ THẢO</w:t>
                            </w:r>
                            <w:r>
                              <w:rPr>
                                <w:b/>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71CAD" id="_x0000_t202" coordsize="21600,21600" o:spt="202" path="m,l,21600r21600,l21600,xe">
                <v:stroke joinstyle="miter"/>
                <v:path gradientshapeok="t" o:connecttype="rect"/>
              </v:shapetype>
              <v:shape id="Text Box 2" o:spid="_x0000_s1026" type="#_x0000_t202" style="position:absolute;left:0;text-align:left;margin-left:-13.05pt;margin-top:15.15pt;width:129.6pt;height:2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sy3JwIAAFAEAAAOAAAAZHJzL2Uyb0RvYy54bWysVNuO0zAQfUfiHyy/07ShXbZR09XSpQhp&#10;uUi7fMDEcRoLx2Nst0n5esZOt1QLvCDyYNme8ZmZc2ayuhk6zQ7SeYWm5LPJlDNpBNbK7Er+9XH7&#10;6pozH8DUoNHIkh+l5zfrly9WvS1kji3qWjpGIMYXvS15G4ItssyLVnbgJ2ilIWODroNAR7fLagc9&#10;oXc6y6fTq6xHV1uHQnpPt3ejka8TftNIET43jZeB6ZJTbiGtLq1VXLP1CoqdA9sqcUoD/iGLDpSh&#10;oGeoOwjA9k79BtUp4dBjEyYCuwybRgmZaqBqZtNn1Ty0YGWqhcjx9kyT/3+w4tPhi2OqLnnOmYGO&#10;JHqUQ2BvcWB5ZKe3viCnB0tuYaBrUjlV6u09im+eGdy0YHby1jnsWwk1ZTeLL7OLpyOOjyBV/xFr&#10;CgP7gAloaFwXqSMyGKGTSsezMjEVEUNezRfLnEyCbK9nRNUYAoqn19b58F5ix+Km5I6UT+hwuPch&#10;ZgPFk0sM5lGrequ0Tge3qzbasQNQl2zTlwp45qYN60u+XOSLkYC/QkzT9yeITgVqd626kl+fnaCI&#10;tL0zdWrGAEqPe0pZmxOPkbqRxDBUw0mXCusjMepwbGsaQ9q06H5w1lNLl9x/34OTnOkPhlRZzubz&#10;OAPpMF+8iXy6S0t1aQEjCKrkgbNxuwnj3OytU7uWIo19YPCWlGxUIjlKPmZ1ypvaNnF/GrE4F5fn&#10;5PXrR7D+CQAA//8DAFBLAwQUAAYACAAAACEAm1hh/d8AAAAJAQAADwAAAGRycy9kb3ducmV2Lnht&#10;bEyPwU7DMAyG70i8Q2QkLmhL26BuK00nhASCGwwE16zx2orEKUnWlbcnnOBo+9Pv76+3szVsQh8G&#10;RxLyZQYMqXV6oE7C2+v9Yg0sREVaGUco4RsDbJvzs1pV2p3oBadd7FgKoVApCX2MY8V5aHu0Kizd&#10;iJRuB+etimn0HddenVK4NbzIspJbNVD60KsR73psP3dHK2F9/Th9hCfx/N6WB7OJV6vp4ctLeXkx&#10;394AizjHPxh+9ZM6NMlp746kAzMSFkWZJ1SCyASwBBRCpMVewmqTA29q/r9B8wMAAP//AwBQSwEC&#10;LQAUAAYACAAAACEAtoM4kv4AAADhAQAAEwAAAAAAAAAAAAAAAAAAAAAAW0NvbnRlbnRfVHlwZXNd&#10;LnhtbFBLAQItABQABgAIAAAAIQA4/SH/1gAAAJQBAAALAAAAAAAAAAAAAAAAAC8BAABfcmVscy8u&#10;cmVsc1BLAQItABQABgAIAAAAIQCCasy3JwIAAFAEAAAOAAAAAAAAAAAAAAAAAC4CAABkcnMvZTJv&#10;RG9jLnhtbFBLAQItABQABgAIAAAAIQCbWGH93wAAAAkBAAAPAAAAAAAAAAAAAAAAAIEEAABkcnMv&#10;ZG93bnJldi54bWxQSwUGAAAAAAQABADzAAAAjQUAAAAA&#10;">
                <v:textbox>
                  <w:txbxContent>
                    <w:p w14:paraId="483C6100" w14:textId="77777777" w:rsidR="00F72681" w:rsidRPr="006D3BA2" w:rsidRDefault="00F72681" w:rsidP="00F72681">
                      <w:pPr>
                        <w:jc w:val="center"/>
                        <w:rPr>
                          <w:b/>
                          <w:sz w:val="28"/>
                          <w:szCs w:val="28"/>
                        </w:rPr>
                      </w:pPr>
                      <w:r w:rsidRPr="006D3BA2">
                        <w:rPr>
                          <w:b/>
                          <w:sz w:val="28"/>
                          <w:szCs w:val="28"/>
                        </w:rPr>
                        <w:t>DỰ THẢO</w:t>
                      </w:r>
                      <w:r>
                        <w:rPr>
                          <w:b/>
                          <w:sz w:val="28"/>
                          <w:szCs w:val="28"/>
                        </w:rPr>
                        <w:t xml:space="preserve"> </w:t>
                      </w:r>
                    </w:p>
                  </w:txbxContent>
                </v:textbox>
              </v:shape>
            </w:pict>
          </mc:Fallback>
        </mc:AlternateContent>
      </w:r>
    </w:p>
    <w:p w14:paraId="5A73ECD1" w14:textId="77777777" w:rsidR="00F72681" w:rsidRPr="00F0257E" w:rsidRDefault="00F72681" w:rsidP="00F72681">
      <w:pPr>
        <w:spacing w:before="120"/>
        <w:jc w:val="center"/>
        <w:rPr>
          <w:sz w:val="28"/>
          <w:szCs w:val="28"/>
          <w:highlight w:val="white"/>
        </w:rPr>
      </w:pPr>
      <w:r w:rsidRPr="00F0257E">
        <w:rPr>
          <w:b/>
          <w:bCs/>
          <w:sz w:val="28"/>
          <w:szCs w:val="28"/>
          <w:highlight w:val="white"/>
          <w:lang w:val="vi-VN"/>
        </w:rPr>
        <w:t>QUYẾT</w:t>
      </w:r>
      <w:r w:rsidRPr="00F0257E">
        <w:rPr>
          <w:b/>
          <w:bCs/>
          <w:sz w:val="28"/>
          <w:szCs w:val="28"/>
          <w:highlight w:val="white"/>
        </w:rPr>
        <w:t xml:space="preserve"> ĐỊNH</w:t>
      </w:r>
    </w:p>
    <w:p w14:paraId="2C50F0FC" w14:textId="77777777" w:rsidR="00F72681" w:rsidRPr="00F0257E" w:rsidRDefault="00F72681" w:rsidP="00F72681">
      <w:pPr>
        <w:jc w:val="center"/>
        <w:rPr>
          <w:b/>
          <w:sz w:val="28"/>
          <w:szCs w:val="28"/>
          <w:highlight w:val="white"/>
        </w:rPr>
      </w:pPr>
      <w:r w:rsidRPr="00F0257E">
        <w:rPr>
          <w:b/>
          <w:bCs/>
          <w:sz w:val="28"/>
          <w:szCs w:val="28"/>
          <w:highlight w:val="white"/>
        </w:rPr>
        <w:t xml:space="preserve">Quy định </w:t>
      </w:r>
      <w:r w:rsidRPr="00F0257E">
        <w:rPr>
          <w:b/>
          <w:sz w:val="28"/>
          <w:szCs w:val="28"/>
          <w:highlight w:val="white"/>
          <w:u w:color="FF0000"/>
        </w:rPr>
        <w:t>mức chi</w:t>
      </w:r>
      <w:r w:rsidRPr="00F0257E">
        <w:rPr>
          <w:b/>
          <w:sz w:val="28"/>
          <w:szCs w:val="28"/>
          <w:highlight w:val="white"/>
        </w:rPr>
        <w:t xml:space="preserve"> đảm bảo cho việc tổ chức thực hiện bồi thường, </w:t>
      </w:r>
    </w:p>
    <w:p w14:paraId="3839ABF8" w14:textId="77777777" w:rsidR="00F72681" w:rsidRPr="00F0257E" w:rsidRDefault="00F72681" w:rsidP="00F72681">
      <w:pPr>
        <w:spacing w:after="120"/>
        <w:jc w:val="center"/>
        <w:rPr>
          <w:b/>
          <w:sz w:val="28"/>
          <w:szCs w:val="28"/>
          <w:highlight w:val="white"/>
        </w:rPr>
      </w:pPr>
      <w:r w:rsidRPr="00F0257E">
        <w:rPr>
          <w:b/>
          <w:sz w:val="28"/>
          <w:szCs w:val="28"/>
          <w:highlight w:val="white"/>
        </w:rPr>
        <w:t xml:space="preserve">hỗ trợ, tái định cư trên địa bàn tỉnh </w:t>
      </w:r>
      <w:r w:rsidRPr="00B231E9">
        <w:rPr>
          <w:b/>
          <w:sz w:val="28"/>
          <w:szCs w:val="28"/>
        </w:rPr>
        <w:t>Quảng Ngãi</w:t>
      </w:r>
    </w:p>
    <w:p w14:paraId="17871A52" w14:textId="77777777" w:rsidR="00F72681" w:rsidRPr="00F0257E" w:rsidRDefault="00F72681" w:rsidP="00F72681">
      <w:pPr>
        <w:spacing w:before="120" w:after="120"/>
        <w:jc w:val="center"/>
        <w:rPr>
          <w:b/>
          <w:bCs/>
          <w:sz w:val="28"/>
          <w:szCs w:val="28"/>
          <w:highlight w:val="white"/>
        </w:rPr>
      </w:pPr>
      <w:r w:rsidRPr="00F0257E">
        <w:rPr>
          <w:b/>
          <w:bCs/>
          <w:noProof/>
          <w:sz w:val="28"/>
          <w:szCs w:val="28"/>
          <w:highlight w:val="white"/>
        </w:rPr>
        <mc:AlternateContent>
          <mc:Choice Requires="wps">
            <w:drawing>
              <wp:anchor distT="0" distB="0" distL="114300" distR="114300" simplePos="0" relativeHeight="251661312" behindDoc="0" locked="0" layoutInCell="1" allowOverlap="1" wp14:anchorId="70CE2C46" wp14:editId="30856D0C">
                <wp:simplePos x="0" y="0"/>
                <wp:positionH relativeFrom="column">
                  <wp:posOffset>2331720</wp:posOffset>
                </wp:positionH>
                <wp:positionV relativeFrom="paragraph">
                  <wp:posOffset>62865</wp:posOffset>
                </wp:positionV>
                <wp:extent cx="1073785" cy="0"/>
                <wp:effectExtent l="11430" t="12065" r="10160" b="698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3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62007" id="Straight Arrow Connector 1" o:spid="_x0000_s1026" type="#_x0000_t32" style="position:absolute;margin-left:183.6pt;margin-top:4.95pt;width:84.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v60AEAAIsDAAAOAAAAZHJzL2Uyb0RvYy54bWysU8GO0zAQvSPxD5bvNG1R2SVqukJdlssC&#10;lbp8wNR2EgvHY43dpv17xt62y8INkYNle+a9mffGWd4dBycOhqJF38jZZCqF8Qq19V0jfzw9vLuV&#10;IibwGhx608iTifJu9fbNcgy1mWOPThsSTOJjPYZG9imFuqqi6s0AcYLBeA62SAMkPlJXaYKR2QdX&#10;zafTD9WIpAOhMjHy7f1zUK4Kf9salb63bTRJuEZyb6msVNZdXqvVEuqOIPRWnduAf+hiAOu56JXq&#10;HhKIPdm/qAarCCO2aaJwqLBtrTJFA6uZTf9Qs+0hmKKFzYnhalP8f7Tq22FDwmqenRQeBh7RNhHY&#10;rk/iExGOYo3es41IYpbdGkOsGbT2G8p61dFvwyOqn1F4XPfgO1O6fjoFpiqI6hUkH2LgmrvxK2rO&#10;gX3CYt2xpSFTsiniWCZ0uk7IHJNQfDmb3ry/uV1IoS6xCuoLMFBMXwwOIm8aGc86rgJmpQwcHmNi&#10;IQy8AHJVjw/WufIcnBdjIz8u5osCiOiszsGcFqnbrR2JA+QHVb7sCpO9SiPce13IegP683mfwLrn&#10;Pec7z7CLG8++7lCfNpTp8j1PvBCfX2d+Ur+fS9bLP7T6BQAA//8DAFBLAwQUAAYACAAAACEA+HGD&#10;b9wAAAAHAQAADwAAAGRycy9kb3ducmV2LnhtbEyOwU6DQBRF9yb+w+SZuDF2KKRYkEfTmLhwadvE&#10;7ZR5BZR5Q5ihYL/e0U1d3tybc0+xmU0nzjS41jLCchGBIK6sbrlGOOxfH9cgnFesVWeZEL7Jwaa8&#10;vSlUru3E73Te+VoECLtcITTe97mUrmrIKLewPXHoTnYwyoc41FIPagpw08k4ilJpVMvhoVE9vTRU&#10;fe1Gg0BuXC2jbWbqw9tleviIL59Tv0e8v5u3zyA8zf46hl/9oA5lcDrakbUTHUKSPsVhipBlIEK/&#10;StIExPEvy7KQ//3LHwAAAP//AwBQSwECLQAUAAYACAAAACEAtoM4kv4AAADhAQAAEwAAAAAAAAAA&#10;AAAAAAAAAAAAW0NvbnRlbnRfVHlwZXNdLnhtbFBLAQItABQABgAIAAAAIQA4/SH/1gAAAJQBAAAL&#10;AAAAAAAAAAAAAAAAAC8BAABfcmVscy8ucmVsc1BLAQItABQABgAIAAAAIQC3/Cv60AEAAIsDAAAO&#10;AAAAAAAAAAAAAAAAAC4CAABkcnMvZTJvRG9jLnhtbFBLAQItABQABgAIAAAAIQD4cYNv3AAAAAcB&#10;AAAPAAAAAAAAAAAAAAAAACoEAABkcnMvZG93bnJldi54bWxQSwUGAAAAAAQABADzAAAAMwUAAAAA&#10;"/>
            </w:pict>
          </mc:Fallback>
        </mc:AlternateContent>
      </w:r>
    </w:p>
    <w:p w14:paraId="35096B5F" w14:textId="77777777" w:rsidR="00F72681" w:rsidRPr="00F0257E" w:rsidRDefault="00F72681" w:rsidP="00F72681">
      <w:pPr>
        <w:spacing w:before="120" w:after="120"/>
        <w:ind w:firstLine="709"/>
        <w:jc w:val="both"/>
        <w:rPr>
          <w:i/>
          <w:iCs/>
          <w:sz w:val="28"/>
          <w:szCs w:val="28"/>
          <w:highlight w:val="white"/>
        </w:rPr>
      </w:pPr>
      <w:r w:rsidRPr="00F0257E">
        <w:rPr>
          <w:i/>
          <w:iCs/>
          <w:sz w:val="28"/>
          <w:szCs w:val="28"/>
          <w:highlight w:val="white"/>
          <w:lang w:val="vi-VN"/>
        </w:rPr>
        <w:t>Căn cứ Luật Tổ chức ch</w:t>
      </w:r>
      <w:r w:rsidRPr="00F0257E">
        <w:rPr>
          <w:i/>
          <w:iCs/>
          <w:sz w:val="28"/>
          <w:szCs w:val="28"/>
          <w:highlight w:val="white"/>
        </w:rPr>
        <w:t>í</w:t>
      </w:r>
      <w:r w:rsidRPr="00F0257E">
        <w:rPr>
          <w:i/>
          <w:iCs/>
          <w:sz w:val="28"/>
          <w:szCs w:val="28"/>
          <w:highlight w:val="white"/>
          <w:lang w:val="vi-VN"/>
        </w:rPr>
        <w:t>nh quyền địa phương ngày 1</w:t>
      </w:r>
      <w:r>
        <w:rPr>
          <w:i/>
          <w:iCs/>
          <w:sz w:val="28"/>
          <w:szCs w:val="28"/>
          <w:highlight w:val="white"/>
        </w:rPr>
        <w:t>6</w:t>
      </w:r>
      <w:r w:rsidRPr="00F0257E">
        <w:rPr>
          <w:i/>
          <w:iCs/>
          <w:sz w:val="28"/>
          <w:szCs w:val="28"/>
          <w:highlight w:val="white"/>
          <w:lang w:val="vi-VN"/>
        </w:rPr>
        <w:t xml:space="preserve"> th</w:t>
      </w:r>
      <w:r w:rsidRPr="00F0257E">
        <w:rPr>
          <w:i/>
          <w:iCs/>
          <w:sz w:val="28"/>
          <w:szCs w:val="28"/>
          <w:highlight w:val="white"/>
        </w:rPr>
        <w:t>á</w:t>
      </w:r>
      <w:r w:rsidRPr="00F0257E">
        <w:rPr>
          <w:i/>
          <w:iCs/>
          <w:sz w:val="28"/>
          <w:szCs w:val="28"/>
          <w:highlight w:val="white"/>
          <w:lang w:val="vi-VN"/>
        </w:rPr>
        <w:t xml:space="preserve">ng </w:t>
      </w:r>
      <w:r>
        <w:rPr>
          <w:i/>
          <w:iCs/>
          <w:sz w:val="28"/>
          <w:szCs w:val="28"/>
          <w:highlight w:val="white"/>
        </w:rPr>
        <w:t>6</w:t>
      </w:r>
      <w:r w:rsidRPr="00F0257E">
        <w:rPr>
          <w:i/>
          <w:iCs/>
          <w:sz w:val="28"/>
          <w:szCs w:val="28"/>
          <w:highlight w:val="white"/>
          <w:lang w:val="vi-VN"/>
        </w:rPr>
        <w:t xml:space="preserve"> năm 20</w:t>
      </w:r>
      <w:r>
        <w:rPr>
          <w:i/>
          <w:iCs/>
          <w:sz w:val="28"/>
          <w:szCs w:val="28"/>
          <w:highlight w:val="white"/>
        </w:rPr>
        <w:t>25</w:t>
      </w:r>
      <w:r w:rsidRPr="00F0257E">
        <w:rPr>
          <w:i/>
          <w:iCs/>
          <w:sz w:val="28"/>
          <w:szCs w:val="28"/>
          <w:highlight w:val="white"/>
          <w:lang w:val="vi-VN"/>
        </w:rPr>
        <w:t>;</w:t>
      </w:r>
    </w:p>
    <w:p w14:paraId="4568DC1A" w14:textId="77777777" w:rsidR="00F72681" w:rsidRPr="00056A03" w:rsidRDefault="00F72681" w:rsidP="00F72681">
      <w:pPr>
        <w:spacing w:before="120" w:after="120"/>
        <w:ind w:firstLine="709"/>
        <w:jc w:val="lowKashida"/>
        <w:rPr>
          <w:i/>
          <w:sz w:val="28"/>
          <w:szCs w:val="28"/>
        </w:rPr>
      </w:pPr>
      <w:r w:rsidRPr="00F0257E">
        <w:rPr>
          <w:i/>
          <w:sz w:val="28"/>
          <w:szCs w:val="28"/>
          <w:highlight w:val="white"/>
          <w:lang w:val="vi-VN"/>
        </w:rPr>
        <w:t xml:space="preserve">Căn cứ </w:t>
      </w:r>
      <w:r w:rsidRPr="00056A03">
        <w:rPr>
          <w:i/>
          <w:sz w:val="28"/>
          <w:szCs w:val="28"/>
          <w:lang w:val="vi-VN"/>
        </w:rPr>
        <w:t>Luật Ban hành văn bản quy phạm pháp luật ngày 19</w:t>
      </w:r>
      <w:r>
        <w:rPr>
          <w:i/>
          <w:sz w:val="28"/>
          <w:szCs w:val="28"/>
        </w:rPr>
        <w:t xml:space="preserve"> tháng </w:t>
      </w:r>
      <w:r w:rsidRPr="00056A03">
        <w:rPr>
          <w:i/>
          <w:sz w:val="28"/>
          <w:szCs w:val="28"/>
          <w:lang w:val="vi-VN"/>
        </w:rPr>
        <w:t>02</w:t>
      </w:r>
      <w:r>
        <w:rPr>
          <w:i/>
          <w:sz w:val="28"/>
          <w:szCs w:val="28"/>
        </w:rPr>
        <w:t xml:space="preserve"> năm </w:t>
      </w:r>
      <w:r w:rsidRPr="00056A03">
        <w:rPr>
          <w:i/>
          <w:sz w:val="28"/>
          <w:szCs w:val="28"/>
          <w:lang w:val="vi-VN"/>
        </w:rPr>
        <w:t>2025; Luật sửa đổi, bổ sung một số điều của Luật Ban hành văn bản quy phạm pháp luật ngày 25</w:t>
      </w:r>
      <w:r>
        <w:rPr>
          <w:i/>
          <w:sz w:val="28"/>
          <w:szCs w:val="28"/>
        </w:rPr>
        <w:t xml:space="preserve"> tháng </w:t>
      </w:r>
      <w:r w:rsidRPr="00056A03">
        <w:rPr>
          <w:i/>
          <w:sz w:val="28"/>
          <w:szCs w:val="28"/>
          <w:lang w:val="vi-VN"/>
        </w:rPr>
        <w:t>6</w:t>
      </w:r>
      <w:r>
        <w:rPr>
          <w:i/>
          <w:sz w:val="28"/>
          <w:szCs w:val="28"/>
        </w:rPr>
        <w:t xml:space="preserve"> năm </w:t>
      </w:r>
      <w:r w:rsidRPr="00056A03">
        <w:rPr>
          <w:i/>
          <w:sz w:val="28"/>
          <w:szCs w:val="28"/>
          <w:lang w:val="vi-VN"/>
        </w:rPr>
        <w:t>2025</w:t>
      </w:r>
      <w:r>
        <w:rPr>
          <w:i/>
          <w:sz w:val="28"/>
          <w:szCs w:val="28"/>
        </w:rPr>
        <w:t>;</w:t>
      </w:r>
    </w:p>
    <w:p w14:paraId="62D09AF3" w14:textId="77777777" w:rsidR="00F72681" w:rsidRPr="00F0257E" w:rsidRDefault="00F72681" w:rsidP="00F72681">
      <w:pPr>
        <w:spacing w:before="120" w:after="120"/>
        <w:ind w:firstLine="709"/>
        <w:jc w:val="lowKashida"/>
        <w:rPr>
          <w:i/>
          <w:iCs/>
          <w:sz w:val="28"/>
          <w:szCs w:val="28"/>
          <w:highlight w:val="white"/>
        </w:rPr>
      </w:pPr>
      <w:r w:rsidRPr="00F0257E">
        <w:rPr>
          <w:i/>
          <w:iCs/>
          <w:sz w:val="28"/>
          <w:szCs w:val="28"/>
          <w:highlight w:val="white"/>
        </w:rPr>
        <w:t>Căn cứ Luật Ngân sách Nhà nước ngày 25 tháng 6 năm 2015;</w:t>
      </w:r>
      <w:r>
        <w:rPr>
          <w:i/>
          <w:iCs/>
          <w:sz w:val="28"/>
          <w:szCs w:val="28"/>
          <w:highlight w:val="white"/>
        </w:rPr>
        <w:t xml:space="preserve"> Luật Sửa đổi, bổ sung </w:t>
      </w:r>
      <w:r w:rsidRPr="00ED20EA">
        <w:rPr>
          <w:i/>
          <w:iCs/>
          <w:sz w:val="28"/>
          <w:szCs w:val="28"/>
        </w:rPr>
        <w:t xml:space="preserve">một số điều của </w:t>
      </w:r>
      <w:r>
        <w:rPr>
          <w:i/>
          <w:iCs/>
          <w:sz w:val="28"/>
          <w:szCs w:val="28"/>
        </w:rPr>
        <w:t>L</w:t>
      </w:r>
      <w:r w:rsidRPr="00ED20EA">
        <w:rPr>
          <w:i/>
          <w:iCs/>
          <w:sz w:val="28"/>
          <w:szCs w:val="28"/>
        </w:rPr>
        <w:t xml:space="preserve">uật </w:t>
      </w:r>
      <w:r>
        <w:rPr>
          <w:i/>
          <w:iCs/>
          <w:sz w:val="28"/>
          <w:szCs w:val="28"/>
        </w:rPr>
        <w:t>C</w:t>
      </w:r>
      <w:r w:rsidRPr="00ED20EA">
        <w:rPr>
          <w:i/>
          <w:iCs/>
          <w:sz w:val="28"/>
          <w:szCs w:val="28"/>
        </w:rPr>
        <w:t xml:space="preserve">hứng khoán, </w:t>
      </w:r>
      <w:r>
        <w:rPr>
          <w:i/>
          <w:iCs/>
          <w:sz w:val="28"/>
          <w:szCs w:val="28"/>
        </w:rPr>
        <w:t>L</w:t>
      </w:r>
      <w:r w:rsidRPr="00ED20EA">
        <w:rPr>
          <w:i/>
          <w:iCs/>
          <w:sz w:val="28"/>
          <w:szCs w:val="28"/>
        </w:rPr>
        <w:t xml:space="preserve">uật </w:t>
      </w:r>
      <w:r>
        <w:rPr>
          <w:i/>
          <w:iCs/>
          <w:sz w:val="28"/>
          <w:szCs w:val="28"/>
        </w:rPr>
        <w:t>K</w:t>
      </w:r>
      <w:r w:rsidRPr="00ED20EA">
        <w:rPr>
          <w:i/>
          <w:iCs/>
          <w:sz w:val="28"/>
          <w:szCs w:val="28"/>
        </w:rPr>
        <w:t xml:space="preserve">ế toán, </w:t>
      </w:r>
      <w:r>
        <w:rPr>
          <w:i/>
          <w:iCs/>
          <w:sz w:val="28"/>
          <w:szCs w:val="28"/>
        </w:rPr>
        <w:t>L</w:t>
      </w:r>
      <w:r w:rsidRPr="00ED20EA">
        <w:rPr>
          <w:i/>
          <w:iCs/>
          <w:sz w:val="28"/>
          <w:szCs w:val="28"/>
        </w:rPr>
        <w:t xml:space="preserve">uật </w:t>
      </w:r>
      <w:r>
        <w:rPr>
          <w:i/>
          <w:iCs/>
          <w:sz w:val="28"/>
          <w:szCs w:val="28"/>
        </w:rPr>
        <w:t>K</w:t>
      </w:r>
      <w:r w:rsidRPr="00ED20EA">
        <w:rPr>
          <w:i/>
          <w:iCs/>
          <w:sz w:val="28"/>
          <w:szCs w:val="28"/>
        </w:rPr>
        <w:t xml:space="preserve">iểm toán độc lập, </w:t>
      </w:r>
      <w:r>
        <w:rPr>
          <w:i/>
          <w:iCs/>
          <w:sz w:val="28"/>
          <w:szCs w:val="28"/>
        </w:rPr>
        <w:t>L</w:t>
      </w:r>
      <w:r w:rsidRPr="00ED20EA">
        <w:rPr>
          <w:i/>
          <w:iCs/>
          <w:sz w:val="28"/>
          <w:szCs w:val="28"/>
        </w:rPr>
        <w:t xml:space="preserve">uật </w:t>
      </w:r>
      <w:r>
        <w:rPr>
          <w:i/>
          <w:iCs/>
          <w:sz w:val="28"/>
          <w:szCs w:val="28"/>
        </w:rPr>
        <w:t>N</w:t>
      </w:r>
      <w:r w:rsidRPr="00ED20EA">
        <w:rPr>
          <w:i/>
          <w:iCs/>
          <w:sz w:val="28"/>
          <w:szCs w:val="28"/>
        </w:rPr>
        <w:t xml:space="preserve">gân sách nhà nước, </w:t>
      </w:r>
      <w:r>
        <w:rPr>
          <w:i/>
          <w:iCs/>
          <w:sz w:val="28"/>
          <w:szCs w:val="28"/>
        </w:rPr>
        <w:t>L</w:t>
      </w:r>
      <w:r w:rsidRPr="00ED20EA">
        <w:rPr>
          <w:i/>
          <w:iCs/>
          <w:sz w:val="28"/>
          <w:szCs w:val="28"/>
        </w:rPr>
        <w:t xml:space="preserve">uật </w:t>
      </w:r>
      <w:r>
        <w:rPr>
          <w:i/>
          <w:iCs/>
          <w:sz w:val="28"/>
          <w:szCs w:val="28"/>
        </w:rPr>
        <w:t>Q</w:t>
      </w:r>
      <w:r w:rsidRPr="00ED20EA">
        <w:rPr>
          <w:i/>
          <w:iCs/>
          <w:sz w:val="28"/>
          <w:szCs w:val="28"/>
        </w:rPr>
        <w:t xml:space="preserve">uản lý, sử dụng tài sản công, </w:t>
      </w:r>
      <w:r>
        <w:rPr>
          <w:i/>
          <w:iCs/>
          <w:sz w:val="28"/>
          <w:szCs w:val="28"/>
        </w:rPr>
        <w:t>L</w:t>
      </w:r>
      <w:r w:rsidRPr="00ED20EA">
        <w:rPr>
          <w:i/>
          <w:iCs/>
          <w:sz w:val="28"/>
          <w:szCs w:val="28"/>
        </w:rPr>
        <w:t xml:space="preserve">uật </w:t>
      </w:r>
      <w:r>
        <w:rPr>
          <w:i/>
          <w:iCs/>
          <w:sz w:val="28"/>
          <w:szCs w:val="28"/>
        </w:rPr>
        <w:t>Q</w:t>
      </w:r>
      <w:r w:rsidRPr="00ED20EA">
        <w:rPr>
          <w:i/>
          <w:iCs/>
          <w:sz w:val="28"/>
          <w:szCs w:val="28"/>
        </w:rPr>
        <w:t xml:space="preserve">uản lý thuế, </w:t>
      </w:r>
      <w:r>
        <w:rPr>
          <w:i/>
          <w:iCs/>
          <w:sz w:val="28"/>
          <w:szCs w:val="28"/>
        </w:rPr>
        <w:t>L</w:t>
      </w:r>
      <w:r w:rsidRPr="00ED20EA">
        <w:rPr>
          <w:i/>
          <w:iCs/>
          <w:sz w:val="28"/>
          <w:szCs w:val="28"/>
        </w:rPr>
        <w:t xml:space="preserve">uật </w:t>
      </w:r>
      <w:r>
        <w:rPr>
          <w:i/>
          <w:iCs/>
          <w:sz w:val="28"/>
          <w:szCs w:val="28"/>
        </w:rPr>
        <w:t>T</w:t>
      </w:r>
      <w:r w:rsidRPr="00ED20EA">
        <w:rPr>
          <w:i/>
          <w:iCs/>
          <w:sz w:val="28"/>
          <w:szCs w:val="28"/>
        </w:rPr>
        <w:t xml:space="preserve">huế thu nhập cá nhân, </w:t>
      </w:r>
      <w:r>
        <w:rPr>
          <w:i/>
          <w:iCs/>
          <w:sz w:val="28"/>
          <w:szCs w:val="28"/>
        </w:rPr>
        <w:t>L</w:t>
      </w:r>
      <w:r w:rsidRPr="00ED20EA">
        <w:rPr>
          <w:i/>
          <w:iCs/>
          <w:sz w:val="28"/>
          <w:szCs w:val="28"/>
        </w:rPr>
        <w:t xml:space="preserve">uật </w:t>
      </w:r>
      <w:r>
        <w:rPr>
          <w:i/>
          <w:iCs/>
          <w:sz w:val="28"/>
          <w:szCs w:val="28"/>
        </w:rPr>
        <w:t>D</w:t>
      </w:r>
      <w:r w:rsidRPr="00ED20EA">
        <w:rPr>
          <w:i/>
          <w:iCs/>
          <w:sz w:val="28"/>
          <w:szCs w:val="28"/>
        </w:rPr>
        <w:t xml:space="preserve">ự trữ quốc gia, </w:t>
      </w:r>
      <w:r>
        <w:rPr>
          <w:i/>
          <w:iCs/>
          <w:sz w:val="28"/>
          <w:szCs w:val="28"/>
        </w:rPr>
        <w:t>L</w:t>
      </w:r>
      <w:r w:rsidRPr="00ED20EA">
        <w:rPr>
          <w:i/>
          <w:iCs/>
          <w:sz w:val="28"/>
          <w:szCs w:val="28"/>
        </w:rPr>
        <w:t xml:space="preserve">uật </w:t>
      </w:r>
      <w:r>
        <w:rPr>
          <w:i/>
          <w:iCs/>
          <w:sz w:val="28"/>
          <w:szCs w:val="28"/>
        </w:rPr>
        <w:t>X</w:t>
      </w:r>
      <w:r w:rsidRPr="00ED20EA">
        <w:rPr>
          <w:i/>
          <w:iCs/>
          <w:sz w:val="28"/>
          <w:szCs w:val="28"/>
        </w:rPr>
        <w:t>ử lý vi phạm hành chính</w:t>
      </w:r>
      <w:r>
        <w:rPr>
          <w:i/>
          <w:iCs/>
          <w:sz w:val="28"/>
          <w:szCs w:val="28"/>
        </w:rPr>
        <w:t xml:space="preserve"> ngày 29 tháng 11 năm 2024;</w:t>
      </w:r>
    </w:p>
    <w:p w14:paraId="77D53D62" w14:textId="77777777" w:rsidR="00F72681" w:rsidRDefault="00F72681" w:rsidP="00F72681">
      <w:pPr>
        <w:spacing w:before="120" w:after="120"/>
        <w:ind w:firstLine="709"/>
        <w:jc w:val="both"/>
        <w:rPr>
          <w:i/>
          <w:iCs/>
          <w:sz w:val="28"/>
          <w:szCs w:val="28"/>
          <w:highlight w:val="white"/>
        </w:rPr>
      </w:pPr>
      <w:r w:rsidRPr="00F0257E">
        <w:rPr>
          <w:i/>
          <w:iCs/>
          <w:sz w:val="28"/>
          <w:szCs w:val="28"/>
          <w:highlight w:val="white"/>
        </w:rPr>
        <w:t>Căn cứ Luật Đất đai ngày 18 tháng 01 năm 2024;</w:t>
      </w:r>
      <w:r w:rsidRPr="00F0257E">
        <w:rPr>
          <w:highlight w:val="white"/>
        </w:rPr>
        <w:t xml:space="preserve"> </w:t>
      </w:r>
      <w:r w:rsidRPr="00F0257E">
        <w:rPr>
          <w:i/>
          <w:iCs/>
          <w:sz w:val="28"/>
          <w:szCs w:val="28"/>
          <w:highlight w:val="white"/>
        </w:rPr>
        <w:t>Luật sửa đổi, bổ sung một số điều của Luật Đất đai, Luật Nhà ở, Luật Kinh doanh bất động sản và Luật Các tổ chức tín dụng ngày 29 tháng 6 năm 2024;</w:t>
      </w:r>
    </w:p>
    <w:p w14:paraId="4AA0C206" w14:textId="77777777" w:rsidR="00F72681" w:rsidRPr="00F0257E" w:rsidRDefault="00F72681" w:rsidP="00F72681">
      <w:pPr>
        <w:spacing w:before="120" w:after="120"/>
        <w:ind w:firstLine="709"/>
        <w:jc w:val="both"/>
        <w:rPr>
          <w:i/>
          <w:iCs/>
          <w:sz w:val="28"/>
          <w:szCs w:val="28"/>
          <w:highlight w:val="white"/>
        </w:rPr>
      </w:pPr>
      <w:r>
        <w:rPr>
          <w:i/>
          <w:iCs/>
          <w:sz w:val="28"/>
          <w:szCs w:val="28"/>
        </w:rPr>
        <w:t xml:space="preserve">Căn cứ </w:t>
      </w:r>
      <w:r w:rsidRPr="00FF6D66">
        <w:rPr>
          <w:i/>
          <w:iCs/>
          <w:sz w:val="28"/>
          <w:szCs w:val="28"/>
        </w:rPr>
        <w:t>Nghị định số 78/2025/NĐ-CP ngày 01</w:t>
      </w:r>
      <w:r>
        <w:rPr>
          <w:i/>
          <w:iCs/>
          <w:sz w:val="28"/>
          <w:szCs w:val="28"/>
        </w:rPr>
        <w:t xml:space="preserve"> tháng </w:t>
      </w:r>
      <w:r w:rsidRPr="00FF6D66">
        <w:rPr>
          <w:i/>
          <w:iCs/>
          <w:sz w:val="28"/>
          <w:szCs w:val="28"/>
        </w:rPr>
        <w:t>4</w:t>
      </w:r>
      <w:r>
        <w:rPr>
          <w:i/>
          <w:iCs/>
          <w:sz w:val="28"/>
          <w:szCs w:val="28"/>
        </w:rPr>
        <w:t xml:space="preserve"> năm </w:t>
      </w:r>
      <w:r w:rsidRPr="00FF6D66">
        <w:rPr>
          <w:i/>
          <w:iCs/>
          <w:sz w:val="28"/>
          <w:szCs w:val="28"/>
        </w:rPr>
        <w:t>2025 của Chính phủ</w:t>
      </w:r>
      <w:r>
        <w:rPr>
          <w:i/>
          <w:iCs/>
          <w:sz w:val="28"/>
          <w:szCs w:val="28"/>
        </w:rPr>
        <w:t xml:space="preserve"> </w:t>
      </w:r>
      <w:r w:rsidRPr="00FF6D66">
        <w:rPr>
          <w:i/>
          <w:iCs/>
          <w:sz w:val="28"/>
          <w:szCs w:val="28"/>
        </w:rPr>
        <w:t xml:space="preserve">Quy định chi tiết một số điều và biện pháp để tổ chức, hướng dẫn thi hành Luật Ban hành văn bản quy phạm pháp luật; </w:t>
      </w:r>
      <w:r>
        <w:rPr>
          <w:i/>
          <w:iCs/>
          <w:sz w:val="28"/>
          <w:szCs w:val="28"/>
        </w:rPr>
        <w:t xml:space="preserve">Nghị định </w:t>
      </w:r>
      <w:r w:rsidRPr="00FF6D66">
        <w:rPr>
          <w:i/>
          <w:iCs/>
          <w:sz w:val="28"/>
          <w:szCs w:val="28"/>
        </w:rPr>
        <w:t>số 187/2025/NĐ-CP ngày 01/7/2025 của Chính phủ sửa đổi, bổ sung một số điều của Nghị định số 78/2025/NĐ-CP ngày 0</w:t>
      </w:r>
      <w:r>
        <w:rPr>
          <w:i/>
          <w:iCs/>
          <w:sz w:val="28"/>
          <w:szCs w:val="28"/>
        </w:rPr>
        <w:t xml:space="preserve">1 tháng </w:t>
      </w:r>
      <w:r w:rsidRPr="00FF6D66">
        <w:rPr>
          <w:i/>
          <w:iCs/>
          <w:sz w:val="28"/>
          <w:szCs w:val="28"/>
        </w:rPr>
        <w:t>4</w:t>
      </w:r>
      <w:r>
        <w:rPr>
          <w:i/>
          <w:iCs/>
          <w:sz w:val="28"/>
          <w:szCs w:val="28"/>
        </w:rPr>
        <w:t xml:space="preserve"> năm </w:t>
      </w:r>
      <w:r w:rsidRPr="00FF6D66">
        <w:rPr>
          <w:i/>
          <w:iCs/>
          <w:sz w:val="28"/>
          <w:szCs w:val="28"/>
        </w:rPr>
        <w:t>2025 của Chính phủ quy định chi tiết một số điều và biện pháp để tổ chức, hướng dẫn thi hành luật ban hành văn bản quy phạm pháp luật</w:t>
      </w:r>
      <w:r>
        <w:rPr>
          <w:i/>
          <w:iCs/>
          <w:sz w:val="28"/>
          <w:szCs w:val="28"/>
        </w:rPr>
        <w:t xml:space="preserve"> </w:t>
      </w:r>
      <w:r w:rsidRPr="003B43AD">
        <w:rPr>
          <w:i/>
          <w:iCs/>
          <w:sz w:val="28"/>
          <w:szCs w:val="28"/>
        </w:rPr>
        <w:t xml:space="preserve">và </w:t>
      </w:r>
      <w:r>
        <w:rPr>
          <w:i/>
          <w:iCs/>
          <w:sz w:val="28"/>
          <w:szCs w:val="28"/>
        </w:rPr>
        <w:t>N</w:t>
      </w:r>
      <w:r w:rsidRPr="003B43AD">
        <w:rPr>
          <w:i/>
          <w:iCs/>
          <w:sz w:val="28"/>
          <w:szCs w:val="28"/>
        </w:rPr>
        <w:t xml:space="preserve">ghị </w:t>
      </w:r>
      <w:r>
        <w:rPr>
          <w:i/>
          <w:iCs/>
          <w:sz w:val="28"/>
          <w:szCs w:val="28"/>
        </w:rPr>
        <w:t>đ</w:t>
      </w:r>
      <w:r w:rsidRPr="003B43AD">
        <w:rPr>
          <w:i/>
          <w:iCs/>
          <w:sz w:val="28"/>
          <w:szCs w:val="28"/>
        </w:rPr>
        <w:t>ịnh số 79/2025/NĐ-CP ngày 01 tháng 4 năm 2025 của chính phủ về kiểm tra, rà soát, hệ thống hóa và xử lý văn bản quy phạm pháp luật</w:t>
      </w:r>
      <w:r>
        <w:rPr>
          <w:i/>
          <w:iCs/>
          <w:sz w:val="28"/>
          <w:szCs w:val="28"/>
        </w:rPr>
        <w:t>;</w:t>
      </w:r>
    </w:p>
    <w:p w14:paraId="14404FE7" w14:textId="77777777" w:rsidR="00F72681" w:rsidRDefault="00F72681" w:rsidP="00F72681">
      <w:pPr>
        <w:spacing w:before="120" w:after="120"/>
        <w:ind w:firstLine="709"/>
        <w:jc w:val="both"/>
        <w:rPr>
          <w:i/>
          <w:iCs/>
          <w:sz w:val="28"/>
          <w:szCs w:val="28"/>
          <w:highlight w:val="white"/>
        </w:rPr>
      </w:pPr>
      <w:r w:rsidRPr="00F0257E">
        <w:rPr>
          <w:i/>
          <w:iCs/>
          <w:sz w:val="28"/>
          <w:szCs w:val="28"/>
          <w:highlight w:val="white"/>
        </w:rPr>
        <w:t>Căn cứ Nghị định số 88/2024/NĐ-CP ngày 15  tháng 7 năm 2024 của Chính phủ quy định về bồi thường, hỗ trợ, tái định cư khi Nhà nước thu hồi đất;</w:t>
      </w:r>
    </w:p>
    <w:p w14:paraId="0245FDBB" w14:textId="77777777" w:rsidR="00F72681" w:rsidRDefault="00F72681" w:rsidP="00F72681">
      <w:pPr>
        <w:spacing w:before="120" w:after="120"/>
        <w:ind w:firstLine="709"/>
        <w:jc w:val="both"/>
        <w:rPr>
          <w:i/>
          <w:iCs/>
          <w:sz w:val="28"/>
          <w:szCs w:val="28"/>
        </w:rPr>
      </w:pPr>
      <w:r w:rsidRPr="00BC3765">
        <w:rPr>
          <w:i/>
          <w:iCs/>
          <w:sz w:val="28"/>
          <w:szCs w:val="28"/>
        </w:rPr>
        <w:t>Căn cứ Nghị định số 102/2024/NĐ-CP ngày 30 tháng 7 năm 2024 của Chính phủ Quy định chi tiết một số điều của Luật Đất đai;</w:t>
      </w:r>
    </w:p>
    <w:p w14:paraId="522393DF" w14:textId="77777777" w:rsidR="00F72681" w:rsidRPr="00BC3765" w:rsidRDefault="00F72681" w:rsidP="00F72681">
      <w:pPr>
        <w:spacing w:before="120" w:after="120"/>
        <w:ind w:firstLine="709"/>
        <w:jc w:val="both"/>
        <w:rPr>
          <w:i/>
          <w:iCs/>
          <w:sz w:val="28"/>
          <w:szCs w:val="28"/>
        </w:rPr>
      </w:pPr>
      <w:r w:rsidRPr="00BC3765">
        <w:rPr>
          <w:i/>
          <w:iCs/>
          <w:sz w:val="28"/>
          <w:szCs w:val="28"/>
        </w:rPr>
        <w:t>Căn cứ Nghị định số 226/2025/NĐ-CP ngày 15 tháng 8 năm 2025 của Chính phủ Sửa đổi, bổ sung một số điều của các Nghị định quy định chi tiết thi hành Luật Đất đai;</w:t>
      </w:r>
    </w:p>
    <w:p w14:paraId="39ECC0E9" w14:textId="77777777" w:rsidR="00F72681" w:rsidRPr="00F0257E" w:rsidRDefault="00F72681" w:rsidP="00F72681">
      <w:pPr>
        <w:spacing w:before="120" w:after="120"/>
        <w:ind w:firstLine="709"/>
        <w:jc w:val="both"/>
        <w:rPr>
          <w:i/>
          <w:iCs/>
          <w:sz w:val="28"/>
          <w:szCs w:val="28"/>
          <w:highlight w:val="white"/>
        </w:rPr>
      </w:pPr>
      <w:r w:rsidRPr="00BC3765">
        <w:rPr>
          <w:i/>
          <w:iCs/>
          <w:sz w:val="28"/>
          <w:szCs w:val="28"/>
        </w:rPr>
        <w:t>Căn cứ Nghị định số 151/2025/NĐ-CP ngày 12 tháng 6 năm 2025 của Chính phủ Quy định về phân định thẩm quyền của chính quyền địa phương 02 cấp, phân quyền, phân cấp trong lĩnh vực đất đai;</w:t>
      </w:r>
    </w:p>
    <w:p w14:paraId="4AB16E87" w14:textId="77777777" w:rsidR="00F72681" w:rsidRDefault="00F72681" w:rsidP="00F72681">
      <w:pPr>
        <w:spacing w:before="120" w:after="120"/>
        <w:ind w:firstLine="709"/>
        <w:jc w:val="both"/>
        <w:rPr>
          <w:i/>
          <w:iCs/>
          <w:sz w:val="28"/>
          <w:szCs w:val="28"/>
          <w:highlight w:val="white"/>
        </w:rPr>
      </w:pPr>
      <w:r w:rsidRPr="00F0257E">
        <w:rPr>
          <w:i/>
          <w:iCs/>
          <w:sz w:val="28"/>
          <w:szCs w:val="28"/>
          <w:highlight w:val="white"/>
        </w:rPr>
        <w:lastRenderedPageBreak/>
        <w:t xml:space="preserve">Theo đề nghị của Giám đốc Sở Tài chính tại </w:t>
      </w:r>
      <w:r w:rsidRPr="00F0257E">
        <w:rPr>
          <w:i/>
          <w:iCs/>
          <w:sz w:val="28"/>
          <w:szCs w:val="28"/>
          <w:highlight w:val="white"/>
          <w:lang w:val="vi-VN"/>
        </w:rPr>
        <w:t>Tờ trình số …../TTr-</w:t>
      </w:r>
      <w:r w:rsidRPr="00F0257E">
        <w:rPr>
          <w:i/>
          <w:iCs/>
          <w:sz w:val="28"/>
          <w:szCs w:val="28"/>
          <w:highlight w:val="white"/>
        </w:rPr>
        <w:t>STC</w:t>
      </w:r>
      <w:r w:rsidRPr="00F0257E">
        <w:rPr>
          <w:i/>
          <w:iCs/>
          <w:sz w:val="28"/>
          <w:szCs w:val="28"/>
          <w:highlight w:val="white"/>
          <w:lang w:val="vi-VN"/>
        </w:rPr>
        <w:t xml:space="preserve"> ngày … tháng … năm 202</w:t>
      </w:r>
      <w:r>
        <w:rPr>
          <w:i/>
          <w:iCs/>
          <w:sz w:val="28"/>
          <w:szCs w:val="28"/>
          <w:highlight w:val="white"/>
        </w:rPr>
        <w:t>5;</w:t>
      </w:r>
    </w:p>
    <w:p w14:paraId="13EA209D" w14:textId="77777777" w:rsidR="00F72681" w:rsidRPr="00546B43" w:rsidRDefault="00F72681" w:rsidP="00F72681">
      <w:pPr>
        <w:spacing w:before="120" w:after="120"/>
        <w:ind w:firstLine="709"/>
        <w:jc w:val="both"/>
        <w:rPr>
          <w:i/>
          <w:iCs/>
          <w:sz w:val="28"/>
          <w:szCs w:val="28"/>
          <w:highlight w:val="white"/>
        </w:rPr>
      </w:pPr>
      <w:r w:rsidRPr="00546B43">
        <w:rPr>
          <w:i/>
          <w:iCs/>
          <w:sz w:val="28"/>
          <w:szCs w:val="28"/>
        </w:rPr>
        <w:t>Ủy ban nhân dân tỉnh ban hành Quyết định</w:t>
      </w:r>
      <w:r>
        <w:rPr>
          <w:i/>
          <w:iCs/>
          <w:sz w:val="28"/>
          <w:szCs w:val="28"/>
        </w:rPr>
        <w:t xml:space="preserve"> </w:t>
      </w:r>
      <w:r w:rsidRPr="00546B43">
        <w:rPr>
          <w:i/>
          <w:iCs/>
          <w:sz w:val="28"/>
          <w:szCs w:val="28"/>
        </w:rPr>
        <w:t>Quy định mức chi đảm bảo cho việc tổ chức thực hiện bồi thường, hỗ trợ, tái định cư trên địa bàn tỉnh Quảng Ngãi</w:t>
      </w:r>
    </w:p>
    <w:p w14:paraId="17F1EC46" w14:textId="77777777" w:rsidR="00F72681" w:rsidRPr="00F0257E" w:rsidRDefault="00F72681" w:rsidP="00F72681">
      <w:pPr>
        <w:spacing w:before="120" w:after="120"/>
        <w:ind w:firstLine="709"/>
        <w:jc w:val="both"/>
        <w:rPr>
          <w:sz w:val="28"/>
          <w:szCs w:val="28"/>
          <w:highlight w:val="white"/>
        </w:rPr>
      </w:pPr>
      <w:r w:rsidRPr="00F0257E">
        <w:rPr>
          <w:b/>
          <w:bCs/>
          <w:sz w:val="28"/>
          <w:szCs w:val="28"/>
          <w:highlight w:val="white"/>
          <w:lang w:val="vi-VN"/>
        </w:rPr>
        <w:t xml:space="preserve">Điều 1. </w:t>
      </w:r>
      <w:bookmarkStart w:id="0" w:name="dieu_1_1"/>
      <w:r w:rsidRPr="00F0257E">
        <w:rPr>
          <w:b/>
          <w:bCs/>
          <w:sz w:val="28"/>
          <w:szCs w:val="28"/>
          <w:highlight w:val="white"/>
        </w:rPr>
        <w:t>Phạm vi điều chỉnh</w:t>
      </w:r>
      <w:bookmarkEnd w:id="0"/>
    </w:p>
    <w:p w14:paraId="3701E69D" w14:textId="77777777" w:rsidR="00F72681" w:rsidRDefault="00F72681" w:rsidP="00F72681">
      <w:pPr>
        <w:spacing w:before="120" w:after="120"/>
        <w:ind w:firstLine="709"/>
        <w:jc w:val="both"/>
        <w:rPr>
          <w:sz w:val="28"/>
          <w:szCs w:val="28"/>
        </w:rPr>
      </w:pPr>
      <w:bookmarkStart w:id="1" w:name="dieu_2_1"/>
      <w:r w:rsidRPr="005A7302">
        <w:rPr>
          <w:sz w:val="28"/>
          <w:szCs w:val="28"/>
        </w:rPr>
        <w:t xml:space="preserve">Quyết định này Quy định mức chi đảm bảo cho việc tổ chức thực hiện bồi thường, hỗ trợ, tái định cư trên địa bàn tỉnh Quảng Ngãi đối với các nội dung chi được quy định tại khoản 4, khoản 5 Điều 27 Nghị định số 88/2024/NĐ-CP ngày 15/7/2024 của Chính phủ quy định về bồi thường, hỗ trợ, tái định cư khi Nhà nước thu hồi đất. </w:t>
      </w:r>
    </w:p>
    <w:p w14:paraId="5EF8DCD1" w14:textId="77777777" w:rsidR="00F72681" w:rsidRPr="00F0257E" w:rsidRDefault="00F72681" w:rsidP="00F72681">
      <w:pPr>
        <w:spacing w:before="120" w:after="120"/>
        <w:ind w:firstLine="709"/>
        <w:jc w:val="both"/>
        <w:rPr>
          <w:sz w:val="28"/>
          <w:szCs w:val="28"/>
          <w:highlight w:val="white"/>
        </w:rPr>
      </w:pPr>
      <w:r w:rsidRPr="00F0257E">
        <w:rPr>
          <w:b/>
          <w:bCs/>
          <w:sz w:val="28"/>
          <w:szCs w:val="28"/>
          <w:highlight w:val="white"/>
        </w:rPr>
        <w:t>Điều 2. Đối tượng áp dụng</w:t>
      </w:r>
      <w:bookmarkEnd w:id="1"/>
    </w:p>
    <w:p w14:paraId="0C3C1838" w14:textId="77777777" w:rsidR="00F72681" w:rsidRPr="005A7302" w:rsidRDefault="00F72681" w:rsidP="00F72681">
      <w:pPr>
        <w:pStyle w:val="NormalWeb"/>
        <w:spacing w:before="120" w:after="120"/>
        <w:ind w:firstLine="709"/>
        <w:jc w:val="both"/>
        <w:rPr>
          <w:rFonts w:ascii="Times New Roman" w:hAnsi="Times New Roman" w:cs="Times New Roman"/>
          <w:sz w:val="28"/>
          <w:szCs w:val="28"/>
        </w:rPr>
      </w:pPr>
      <w:r w:rsidRPr="005A7302">
        <w:rPr>
          <w:rFonts w:ascii="Times New Roman" w:hAnsi="Times New Roman" w:cs="Times New Roman"/>
          <w:sz w:val="28"/>
          <w:szCs w:val="28"/>
        </w:rPr>
        <w:t>1. Đơn vị, tổ chức thực hiện nhiệm vụ bồi thường, hỗ trợ, tái định cư bao gồm: Tổ chức phát triển quỹ đất; đơn vị, tổ chức khác có chức năng thực hiện nhiệm vụ bồi thường, hỗ trợ, tái định cư; hội đồng bồi thường, hỗ trợ, tái định cư.</w:t>
      </w:r>
    </w:p>
    <w:p w14:paraId="7879CB19" w14:textId="77777777" w:rsidR="00F72681" w:rsidRDefault="00F72681" w:rsidP="00F72681">
      <w:pPr>
        <w:pStyle w:val="NormalWeb"/>
        <w:spacing w:before="120" w:after="120"/>
        <w:ind w:firstLine="709"/>
        <w:jc w:val="both"/>
        <w:rPr>
          <w:rFonts w:ascii="Times New Roman" w:hAnsi="Times New Roman" w:cs="Times New Roman"/>
          <w:sz w:val="28"/>
          <w:szCs w:val="28"/>
        </w:rPr>
      </w:pPr>
      <w:r w:rsidRPr="005A7302">
        <w:rPr>
          <w:rFonts w:ascii="Times New Roman" w:hAnsi="Times New Roman" w:cs="Times New Roman"/>
          <w:sz w:val="28"/>
          <w:szCs w:val="28"/>
        </w:rPr>
        <w:t xml:space="preserve">2. Các cơ quan, tổ chức, cá nhân có liên quan đến việc bồi thường, hỗ trợ, tái định cư; việc lập, sử dụng và thanh, quyết toán kinh phí tổ chức thực hiện bồi thường, hỗ trợ, tái định cư khi Nhà nước thu hồi đất. </w:t>
      </w:r>
    </w:p>
    <w:p w14:paraId="7371651B" w14:textId="77777777" w:rsidR="00F72681" w:rsidRDefault="00F72681" w:rsidP="00F72681">
      <w:pPr>
        <w:pStyle w:val="NormalWeb"/>
        <w:spacing w:before="120" w:after="120"/>
        <w:ind w:firstLine="709"/>
        <w:jc w:val="both"/>
        <w:rPr>
          <w:rFonts w:ascii="Times New Roman" w:hAnsi="Times New Roman" w:cs="Times New Roman"/>
          <w:b/>
          <w:sz w:val="28"/>
          <w:szCs w:val="28"/>
          <w:u w:color="FF0000"/>
        </w:rPr>
      </w:pPr>
      <w:r w:rsidRPr="00F0257E">
        <w:rPr>
          <w:rFonts w:ascii="Times New Roman" w:hAnsi="Times New Roman" w:cs="Times New Roman"/>
          <w:b/>
          <w:sz w:val="28"/>
          <w:szCs w:val="28"/>
          <w:highlight w:val="white"/>
          <w:lang w:val="vi-VN"/>
        </w:rPr>
        <w:t xml:space="preserve">Điều 3. </w:t>
      </w:r>
      <w:bookmarkStart w:id="2" w:name="dieu_5"/>
      <w:r w:rsidRPr="005A7302">
        <w:rPr>
          <w:rFonts w:ascii="Times New Roman" w:hAnsi="Times New Roman" w:cs="Times New Roman"/>
          <w:b/>
          <w:sz w:val="28"/>
          <w:szCs w:val="28"/>
          <w:u w:color="FF0000"/>
        </w:rPr>
        <w:t>Mức chi đảm bảo cho việc tổ chức thực hiện bồi thường, hỗ trợ, tái định cư trên địa bàn tỉnh Quảng Ngãi</w:t>
      </w:r>
    </w:p>
    <w:p w14:paraId="6040B3B8" w14:textId="77777777" w:rsidR="00F72681" w:rsidRPr="00992D1D" w:rsidRDefault="00F72681" w:rsidP="00F72681">
      <w:pPr>
        <w:pStyle w:val="NormalWeb"/>
        <w:spacing w:before="120" w:after="120"/>
        <w:ind w:firstLine="709"/>
        <w:jc w:val="both"/>
        <w:rPr>
          <w:rFonts w:ascii="Times New Roman" w:hAnsi="Times New Roman" w:cs="Times New Roman"/>
          <w:bCs/>
          <w:sz w:val="28"/>
          <w:szCs w:val="28"/>
          <w:u w:color="FF0000"/>
        </w:rPr>
      </w:pPr>
      <w:r w:rsidRPr="00992D1D">
        <w:rPr>
          <w:rFonts w:ascii="Times New Roman" w:hAnsi="Times New Roman" w:cs="Times New Roman"/>
          <w:bCs/>
          <w:sz w:val="28"/>
          <w:szCs w:val="28"/>
          <w:u w:color="FF0000"/>
        </w:rPr>
        <w:t>1. Mức chi đối với nội dung chi phí đảm bảo cho việc tổ chức thực hiện bồi thường, hỗ trợ, tái định cư tại khoản 4 Điều 27 Nghị định số 88/2024/NĐ-CP ngày 15 tháng 7 năm 2024 của Chính phủ quy định về bồi thường, hỗ trợ, tái định cư khi Nhà nước thu hồi đất theo Phụ lục I kèm theo Quyết định này.</w:t>
      </w:r>
    </w:p>
    <w:p w14:paraId="2D3B7DE0" w14:textId="77777777" w:rsidR="00F72681" w:rsidRDefault="00F72681" w:rsidP="00F72681">
      <w:pPr>
        <w:pStyle w:val="NormalWeb"/>
        <w:spacing w:before="120" w:after="120"/>
        <w:ind w:firstLine="709"/>
        <w:jc w:val="both"/>
        <w:rPr>
          <w:rFonts w:ascii="Times New Roman" w:hAnsi="Times New Roman" w:cs="Times New Roman"/>
          <w:bCs/>
          <w:sz w:val="28"/>
          <w:szCs w:val="28"/>
          <w:u w:color="FF0000"/>
        </w:rPr>
      </w:pPr>
      <w:r w:rsidRPr="00992D1D">
        <w:rPr>
          <w:rFonts w:ascii="Times New Roman" w:hAnsi="Times New Roman" w:cs="Times New Roman"/>
          <w:bCs/>
          <w:sz w:val="28"/>
          <w:szCs w:val="28"/>
          <w:u w:color="FF0000"/>
        </w:rPr>
        <w:t>2. Mức chi đối với nội dung chi tổ chức thực hiện cưỡng chế kiểm đếm, cưỡng chế thu hồi đất tại khoản 5 Điều 27 Nghị định số 88/2024/NĐ-CP ngày 15 tháng 7 năm 2024 của Chính phủ quy định về bồi thường, hỗ trợ, tái định cư khi Nhà nước thu hồi đất theo Phụ lục II kèm theo Quyết định này.</w:t>
      </w:r>
    </w:p>
    <w:p w14:paraId="343B93C1" w14:textId="118AD668" w:rsidR="00F72681" w:rsidRPr="00EF578F" w:rsidRDefault="00F72681" w:rsidP="00EF578F">
      <w:pPr>
        <w:pStyle w:val="NormalWeb"/>
        <w:spacing w:before="120" w:after="120"/>
        <w:ind w:firstLine="709"/>
        <w:jc w:val="both"/>
        <w:rPr>
          <w:rFonts w:ascii="Times New Roman" w:hAnsi="Times New Roman" w:cs="Times New Roman"/>
          <w:b/>
          <w:bCs/>
          <w:sz w:val="28"/>
          <w:szCs w:val="28"/>
          <w:highlight w:val="white"/>
        </w:rPr>
      </w:pPr>
      <w:bookmarkStart w:id="3" w:name="_Hlk179961372"/>
      <w:r w:rsidRPr="00EF578F">
        <w:rPr>
          <w:rFonts w:ascii="Times New Roman" w:hAnsi="Times New Roman" w:cs="Times New Roman"/>
          <w:b/>
          <w:sz w:val="28"/>
          <w:szCs w:val="28"/>
          <w:highlight w:val="white"/>
          <w:lang w:val="vi-VN"/>
        </w:rPr>
        <w:t xml:space="preserve">Điều 4. </w:t>
      </w:r>
      <w:bookmarkEnd w:id="2"/>
      <w:bookmarkEnd w:id="3"/>
      <w:r w:rsidRPr="00EF578F">
        <w:rPr>
          <w:rFonts w:ascii="Times New Roman" w:hAnsi="Times New Roman" w:cs="Times New Roman"/>
          <w:b/>
          <w:bCs/>
          <w:sz w:val="28"/>
          <w:szCs w:val="28"/>
          <w:highlight w:val="white"/>
        </w:rPr>
        <w:t>Tổ chức thực hiện</w:t>
      </w:r>
    </w:p>
    <w:p w14:paraId="6CA01D5D" w14:textId="77777777" w:rsidR="00F72681" w:rsidRDefault="00F72681" w:rsidP="00F72681">
      <w:pPr>
        <w:pStyle w:val="NormalWeb"/>
        <w:spacing w:before="120" w:after="120"/>
        <w:ind w:firstLine="709"/>
        <w:jc w:val="both"/>
        <w:rPr>
          <w:rFonts w:ascii="Times New Roman" w:hAnsi="Times New Roman" w:cs="Times New Roman"/>
          <w:sz w:val="28"/>
          <w:szCs w:val="28"/>
          <w:highlight w:val="white"/>
        </w:rPr>
      </w:pPr>
      <w:r w:rsidRPr="00F0257E">
        <w:rPr>
          <w:rFonts w:ascii="Times New Roman" w:hAnsi="Times New Roman" w:cs="Times New Roman"/>
          <w:sz w:val="28"/>
          <w:szCs w:val="28"/>
          <w:highlight w:val="white"/>
        </w:rPr>
        <w:t>1. Quyết định này có hiệu lực thi hành từ ngày … tháng … năm 202</w:t>
      </w:r>
      <w:r>
        <w:rPr>
          <w:rFonts w:ascii="Times New Roman" w:hAnsi="Times New Roman" w:cs="Times New Roman"/>
          <w:sz w:val="28"/>
          <w:szCs w:val="28"/>
          <w:highlight w:val="white"/>
        </w:rPr>
        <w:t>5</w:t>
      </w:r>
      <w:r w:rsidRPr="00F0257E">
        <w:rPr>
          <w:rFonts w:ascii="Times New Roman" w:hAnsi="Times New Roman" w:cs="Times New Roman"/>
          <w:sz w:val="28"/>
          <w:szCs w:val="28"/>
          <w:highlight w:val="white"/>
        </w:rPr>
        <w:t>.</w:t>
      </w:r>
    </w:p>
    <w:p w14:paraId="55937936" w14:textId="77777777" w:rsidR="00F72681" w:rsidRDefault="00F72681" w:rsidP="00F72681">
      <w:pPr>
        <w:pStyle w:val="NormalWeb"/>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F3212">
        <w:rPr>
          <w:rFonts w:ascii="Times New Roman" w:hAnsi="Times New Roman" w:cs="Times New Roman"/>
          <w:sz w:val="28"/>
          <w:szCs w:val="28"/>
        </w:rPr>
        <w:t xml:space="preserve">Các </w:t>
      </w:r>
      <w:r>
        <w:rPr>
          <w:rFonts w:ascii="Times New Roman" w:hAnsi="Times New Roman" w:cs="Times New Roman"/>
          <w:sz w:val="28"/>
          <w:szCs w:val="28"/>
        </w:rPr>
        <w:t>Quyết định</w:t>
      </w:r>
      <w:r w:rsidRPr="007F3212">
        <w:rPr>
          <w:rFonts w:ascii="Times New Roman" w:hAnsi="Times New Roman" w:cs="Times New Roman"/>
          <w:sz w:val="28"/>
          <w:szCs w:val="28"/>
        </w:rPr>
        <w:t xml:space="preserve"> sau đây hết hiệu lực kể từ ngày </w:t>
      </w:r>
      <w:r>
        <w:rPr>
          <w:rFonts w:ascii="Times New Roman" w:hAnsi="Times New Roman" w:cs="Times New Roman"/>
          <w:sz w:val="28"/>
          <w:szCs w:val="28"/>
        </w:rPr>
        <w:t>Quyết định</w:t>
      </w:r>
      <w:r w:rsidRPr="007F3212">
        <w:rPr>
          <w:rFonts w:ascii="Times New Roman" w:hAnsi="Times New Roman" w:cs="Times New Roman"/>
          <w:sz w:val="28"/>
          <w:szCs w:val="28"/>
        </w:rPr>
        <w:t xml:space="preserve"> này có hiệu lực thi hành:</w:t>
      </w:r>
    </w:p>
    <w:p w14:paraId="159DF359" w14:textId="77777777" w:rsidR="00F72681" w:rsidRDefault="00F72681" w:rsidP="00F72681">
      <w:pPr>
        <w:pStyle w:val="NormalWeb"/>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 xml:space="preserve">a) </w:t>
      </w:r>
      <w:r w:rsidRPr="003F3A1C">
        <w:rPr>
          <w:rFonts w:ascii="Times New Roman" w:hAnsi="Times New Roman" w:cs="Times New Roman"/>
          <w:sz w:val="28"/>
          <w:szCs w:val="28"/>
        </w:rPr>
        <w:t xml:space="preserve">Quyết định số 62/2024/QĐ-UBND ngày 18/11/2024 của </w:t>
      </w:r>
      <w:r>
        <w:rPr>
          <w:rFonts w:ascii="Times New Roman" w:hAnsi="Times New Roman" w:cs="Times New Roman"/>
          <w:sz w:val="28"/>
          <w:szCs w:val="28"/>
        </w:rPr>
        <w:t>Uỷ ban nhân dân</w:t>
      </w:r>
      <w:r w:rsidRPr="003F3A1C">
        <w:rPr>
          <w:rFonts w:ascii="Times New Roman" w:hAnsi="Times New Roman" w:cs="Times New Roman"/>
          <w:sz w:val="28"/>
          <w:szCs w:val="28"/>
        </w:rPr>
        <w:t xml:space="preserve"> tỉnh Quảng Ngãi (cũ) Quy định mức chi đảm bảo cho việc tổ chức thực hiện bồi thường, hỗ trợ, tái định cư trên địa bàn tỉnh Quảng Ngãi; </w:t>
      </w:r>
    </w:p>
    <w:p w14:paraId="678D51EE" w14:textId="77777777" w:rsidR="00F72681" w:rsidRPr="00F0257E" w:rsidRDefault="00F72681" w:rsidP="00F72681">
      <w:pPr>
        <w:pStyle w:val="NormalWeb"/>
        <w:spacing w:before="120" w:after="120"/>
        <w:ind w:firstLine="709"/>
        <w:jc w:val="both"/>
        <w:rPr>
          <w:rFonts w:ascii="Times New Roman" w:hAnsi="Times New Roman" w:cs="Times New Roman"/>
          <w:sz w:val="28"/>
          <w:szCs w:val="28"/>
          <w:highlight w:val="white"/>
        </w:rPr>
      </w:pPr>
      <w:r>
        <w:rPr>
          <w:rFonts w:ascii="Times New Roman" w:hAnsi="Times New Roman" w:cs="Times New Roman"/>
          <w:sz w:val="28"/>
          <w:szCs w:val="28"/>
        </w:rPr>
        <w:t xml:space="preserve">b) </w:t>
      </w:r>
      <w:r w:rsidRPr="003F3A1C">
        <w:rPr>
          <w:rFonts w:ascii="Times New Roman" w:hAnsi="Times New Roman" w:cs="Times New Roman"/>
          <w:sz w:val="28"/>
          <w:szCs w:val="28"/>
        </w:rPr>
        <w:t xml:space="preserve">Quyết định số 74/2024/QĐ-UBND ngày 01/12/2024 của </w:t>
      </w:r>
      <w:r>
        <w:rPr>
          <w:rFonts w:ascii="Times New Roman" w:hAnsi="Times New Roman" w:cs="Times New Roman"/>
          <w:sz w:val="28"/>
          <w:szCs w:val="28"/>
        </w:rPr>
        <w:t>Uỷ ban nhân dân</w:t>
      </w:r>
      <w:r w:rsidRPr="003F3A1C">
        <w:rPr>
          <w:rFonts w:ascii="Times New Roman" w:hAnsi="Times New Roman" w:cs="Times New Roman"/>
          <w:sz w:val="28"/>
          <w:szCs w:val="28"/>
        </w:rPr>
        <w:t xml:space="preserve"> tỉnh Kon Tum (cũ) Quy định mức chi đảm bảo cho việc tổ chức thực hiện bồi thường, hỗ trợ, tái định cư trên địa bàn tỉnh Kon Tum</w:t>
      </w:r>
      <w:r>
        <w:rPr>
          <w:rFonts w:ascii="Times New Roman" w:hAnsi="Times New Roman" w:cs="Times New Roman"/>
          <w:sz w:val="28"/>
          <w:szCs w:val="28"/>
        </w:rPr>
        <w:t>.</w:t>
      </w:r>
    </w:p>
    <w:p w14:paraId="338D04EF" w14:textId="4BA54695" w:rsidR="00F72681" w:rsidRPr="00F0257E" w:rsidRDefault="00F72681" w:rsidP="00F72681">
      <w:pPr>
        <w:pStyle w:val="NormalWeb"/>
        <w:spacing w:before="120" w:after="120"/>
        <w:ind w:firstLine="709"/>
        <w:jc w:val="both"/>
        <w:rPr>
          <w:rFonts w:ascii="Times New Roman" w:hAnsi="Times New Roman" w:cs="Times New Roman"/>
          <w:sz w:val="28"/>
          <w:szCs w:val="28"/>
          <w:highlight w:val="white"/>
        </w:rPr>
      </w:pPr>
      <w:r w:rsidRPr="00BD6C14">
        <w:rPr>
          <w:rFonts w:ascii="Times New Roman" w:hAnsi="Times New Roman" w:cs="Times New Roman"/>
          <w:b/>
          <w:bCs/>
          <w:sz w:val="28"/>
          <w:szCs w:val="28"/>
          <w:highlight w:val="white"/>
        </w:rPr>
        <w:lastRenderedPageBreak/>
        <w:t xml:space="preserve">Điều </w:t>
      </w:r>
      <w:r w:rsidR="00EF578F">
        <w:rPr>
          <w:rFonts w:ascii="Times New Roman" w:hAnsi="Times New Roman" w:cs="Times New Roman"/>
          <w:b/>
          <w:bCs/>
          <w:sz w:val="28"/>
          <w:szCs w:val="28"/>
          <w:highlight w:val="white"/>
        </w:rPr>
        <w:t>5.</w:t>
      </w:r>
      <w:r w:rsidRPr="00F0257E">
        <w:rPr>
          <w:rFonts w:ascii="Times New Roman" w:hAnsi="Times New Roman" w:cs="Times New Roman"/>
          <w:sz w:val="28"/>
          <w:szCs w:val="28"/>
          <w:highlight w:val="white"/>
        </w:rPr>
        <w:t xml:space="preserve"> Chánh Văn phòng Ủy ban nhân dân tỉnh, Giám đốc các Sở: Tài chính, </w:t>
      </w:r>
      <w:r>
        <w:rPr>
          <w:rFonts w:ascii="Times New Roman" w:hAnsi="Times New Roman" w:cs="Times New Roman"/>
          <w:sz w:val="28"/>
          <w:szCs w:val="28"/>
          <w:highlight w:val="white"/>
        </w:rPr>
        <w:t>Nông nghiệp</w:t>
      </w:r>
      <w:r w:rsidRPr="00F0257E">
        <w:rPr>
          <w:rFonts w:ascii="Times New Roman" w:hAnsi="Times New Roman" w:cs="Times New Roman"/>
          <w:sz w:val="28"/>
          <w:szCs w:val="28"/>
          <w:highlight w:val="white"/>
        </w:rPr>
        <w:t xml:space="preserve"> và Môi trường; Chủ tịch Ủy ban nhân dân các </w:t>
      </w:r>
      <w:r>
        <w:rPr>
          <w:rFonts w:ascii="Times New Roman" w:hAnsi="Times New Roman" w:cs="Times New Roman"/>
          <w:sz w:val="28"/>
          <w:szCs w:val="28"/>
          <w:highlight w:val="white"/>
        </w:rPr>
        <w:t>xã</w:t>
      </w:r>
      <w:r w:rsidRPr="00F0257E">
        <w:rPr>
          <w:rFonts w:ascii="Times New Roman" w:hAnsi="Times New Roman" w:cs="Times New Roman"/>
          <w:sz w:val="28"/>
          <w:szCs w:val="28"/>
          <w:highlight w:val="white"/>
        </w:rPr>
        <w:t xml:space="preserve">, </w:t>
      </w:r>
      <w:r>
        <w:rPr>
          <w:rFonts w:ascii="Times New Roman" w:hAnsi="Times New Roman" w:cs="Times New Roman"/>
          <w:sz w:val="28"/>
          <w:szCs w:val="28"/>
          <w:highlight w:val="white"/>
        </w:rPr>
        <w:t>phường, đặc khu</w:t>
      </w:r>
      <w:r w:rsidRPr="00F0257E">
        <w:rPr>
          <w:rFonts w:ascii="Times New Roman" w:hAnsi="Times New Roman" w:cs="Times New Roman"/>
          <w:sz w:val="28"/>
          <w:szCs w:val="28"/>
          <w:highlight w:val="white"/>
        </w:rPr>
        <w:t xml:space="preserve">; </w:t>
      </w:r>
      <w:r w:rsidRPr="00F0257E">
        <w:rPr>
          <w:rFonts w:ascii="Times New Roman" w:hAnsi="Times New Roman" w:cs="Times New Roman"/>
          <w:sz w:val="28"/>
          <w:szCs w:val="28"/>
          <w:highlight w:val="white"/>
          <w:u w:color="FF0000"/>
        </w:rPr>
        <w:t>Thủ tưởng</w:t>
      </w:r>
      <w:r w:rsidRPr="00F0257E">
        <w:rPr>
          <w:rFonts w:ascii="Times New Roman" w:hAnsi="Times New Roman" w:cs="Times New Roman"/>
          <w:sz w:val="28"/>
          <w:szCs w:val="28"/>
          <w:highlight w:val="white"/>
        </w:rPr>
        <w:t xml:space="preserve"> các đơn vị, tổ chức có liên quan chịu trách nhiệm thi hành Quyết định này./</w:t>
      </w:r>
      <w:r>
        <w:rPr>
          <w:rFonts w:ascii="Times New Roman" w:hAnsi="Times New Roman" w:cs="Times New Roman"/>
          <w:sz w:val="28"/>
          <w:szCs w:val="28"/>
          <w:highlight w:val="white"/>
        </w:rPr>
        <w:t>.</w:t>
      </w:r>
    </w:p>
    <w:tbl>
      <w:tblPr>
        <w:tblW w:w="9359" w:type="dxa"/>
        <w:tblCellMar>
          <w:left w:w="0" w:type="dxa"/>
          <w:right w:w="0" w:type="dxa"/>
        </w:tblCellMar>
        <w:tblLook w:val="04A0" w:firstRow="1" w:lastRow="0" w:firstColumn="1" w:lastColumn="0" w:noHBand="0" w:noVBand="1"/>
      </w:tblPr>
      <w:tblGrid>
        <w:gridCol w:w="5211"/>
        <w:gridCol w:w="4148"/>
      </w:tblGrid>
      <w:tr w:rsidR="00F72681" w:rsidRPr="00F0257E" w14:paraId="669A529A" w14:textId="77777777" w:rsidTr="006E7B32">
        <w:tc>
          <w:tcPr>
            <w:tcW w:w="5211" w:type="dxa"/>
            <w:tcMar>
              <w:top w:w="0" w:type="dxa"/>
              <w:left w:w="108" w:type="dxa"/>
              <w:bottom w:w="0" w:type="dxa"/>
              <w:right w:w="108" w:type="dxa"/>
            </w:tcMar>
          </w:tcPr>
          <w:p w14:paraId="440306C3" w14:textId="77777777" w:rsidR="00F72681" w:rsidRPr="00F0257E" w:rsidRDefault="00F72681" w:rsidP="006E7B32">
            <w:pPr>
              <w:rPr>
                <w:b/>
                <w:bCs/>
                <w:i/>
                <w:iCs/>
                <w:highlight w:val="white"/>
                <w:lang w:val="vi-VN"/>
              </w:rPr>
            </w:pPr>
            <w:r w:rsidRPr="00F0257E">
              <w:rPr>
                <w:highlight w:val="white"/>
              </w:rPr>
              <w:t> </w:t>
            </w:r>
            <w:r w:rsidRPr="00F0257E">
              <w:rPr>
                <w:b/>
                <w:bCs/>
                <w:i/>
                <w:iCs/>
                <w:highlight w:val="white"/>
                <w:u w:color="FF0000"/>
                <w:lang w:val="vi-VN"/>
              </w:rPr>
              <w:t>Nơi nhận</w:t>
            </w:r>
            <w:r w:rsidRPr="00F0257E">
              <w:rPr>
                <w:b/>
                <w:bCs/>
                <w:i/>
                <w:iCs/>
                <w:highlight w:val="white"/>
                <w:lang w:val="vi-VN"/>
              </w:rPr>
              <w:t>:</w:t>
            </w:r>
          </w:p>
          <w:p w14:paraId="43273AAF" w14:textId="2A2C6B98" w:rsidR="00F72681" w:rsidRPr="00F0257E" w:rsidRDefault="00F72681" w:rsidP="006E7B32">
            <w:pPr>
              <w:rPr>
                <w:b/>
                <w:bCs/>
                <w:i/>
                <w:iCs/>
                <w:sz w:val="22"/>
                <w:szCs w:val="22"/>
                <w:highlight w:val="white"/>
              </w:rPr>
            </w:pPr>
            <w:r w:rsidRPr="00F0257E">
              <w:rPr>
                <w:i/>
                <w:sz w:val="22"/>
                <w:szCs w:val="22"/>
                <w:highlight w:val="white"/>
                <w:lang w:val="af-ZA"/>
              </w:rPr>
              <w:t xml:space="preserve">- </w:t>
            </w:r>
            <w:r w:rsidRPr="00F0257E">
              <w:rPr>
                <w:sz w:val="22"/>
                <w:szCs w:val="22"/>
                <w:highlight w:val="white"/>
                <w:lang w:val="af-ZA"/>
              </w:rPr>
              <w:t xml:space="preserve">Như Điều </w:t>
            </w:r>
            <w:r w:rsidR="00EF578F">
              <w:rPr>
                <w:sz w:val="22"/>
                <w:szCs w:val="22"/>
                <w:highlight w:val="white"/>
                <w:lang w:val="af-ZA"/>
              </w:rPr>
              <w:t>5</w:t>
            </w:r>
            <w:r w:rsidRPr="00F0257E">
              <w:rPr>
                <w:sz w:val="22"/>
                <w:szCs w:val="22"/>
                <w:highlight w:val="white"/>
                <w:lang w:val="af-ZA"/>
              </w:rPr>
              <w:t xml:space="preserve"> (</w:t>
            </w:r>
            <w:r w:rsidRPr="00F0257E">
              <w:rPr>
                <w:sz w:val="22"/>
                <w:szCs w:val="22"/>
                <w:highlight w:val="white"/>
                <w:u w:color="FF0000"/>
                <w:lang w:val="af-ZA"/>
              </w:rPr>
              <w:t>t/h</w:t>
            </w:r>
            <w:r w:rsidRPr="00F0257E">
              <w:rPr>
                <w:sz w:val="22"/>
                <w:szCs w:val="22"/>
                <w:highlight w:val="white"/>
                <w:lang w:val="af-ZA"/>
              </w:rPr>
              <w:t>);</w:t>
            </w:r>
          </w:p>
          <w:p w14:paraId="53032F3A" w14:textId="77777777" w:rsidR="00F72681" w:rsidRPr="00F0257E" w:rsidRDefault="00F72681" w:rsidP="006E7B32">
            <w:pPr>
              <w:jc w:val="both"/>
              <w:rPr>
                <w:sz w:val="22"/>
                <w:szCs w:val="22"/>
                <w:highlight w:val="white"/>
                <w:lang w:val="af-ZA"/>
              </w:rPr>
            </w:pPr>
            <w:r w:rsidRPr="00F0257E">
              <w:rPr>
                <w:sz w:val="22"/>
                <w:szCs w:val="22"/>
                <w:highlight w:val="white"/>
                <w:lang w:val="af-ZA"/>
              </w:rPr>
              <w:t>- Văn phòng Chính phủ;</w:t>
            </w:r>
          </w:p>
          <w:p w14:paraId="3C37B43D" w14:textId="77777777" w:rsidR="00F72681" w:rsidRDefault="00F72681" w:rsidP="006E7B32">
            <w:pPr>
              <w:jc w:val="both"/>
              <w:rPr>
                <w:sz w:val="22"/>
                <w:szCs w:val="22"/>
                <w:lang w:val="af-ZA"/>
              </w:rPr>
            </w:pPr>
            <w:r w:rsidRPr="00F0257E">
              <w:rPr>
                <w:sz w:val="22"/>
                <w:szCs w:val="22"/>
                <w:highlight w:val="white"/>
                <w:lang w:val="af-ZA"/>
              </w:rPr>
              <w:t xml:space="preserve">- </w:t>
            </w:r>
            <w:r w:rsidRPr="008B7211">
              <w:rPr>
                <w:sz w:val="22"/>
                <w:szCs w:val="22"/>
                <w:highlight w:val="white"/>
                <w:lang w:val="af-ZA"/>
              </w:rPr>
              <w:t>Vụ Pháp chế</w:t>
            </w:r>
            <w:r>
              <w:rPr>
                <w:sz w:val="22"/>
                <w:szCs w:val="22"/>
                <w:highlight w:val="white"/>
                <w:lang w:val="af-ZA"/>
              </w:rPr>
              <w:t xml:space="preserve">, </w:t>
            </w:r>
            <w:r w:rsidRPr="00F0257E">
              <w:rPr>
                <w:sz w:val="22"/>
                <w:szCs w:val="22"/>
                <w:highlight w:val="white"/>
                <w:lang w:val="af-ZA"/>
              </w:rPr>
              <w:t>Bộ Tài chính;</w:t>
            </w:r>
          </w:p>
          <w:p w14:paraId="400A5EC7" w14:textId="77777777" w:rsidR="00F72681" w:rsidRPr="00777F22" w:rsidRDefault="00F72681" w:rsidP="006E7B32">
            <w:pPr>
              <w:jc w:val="both"/>
              <w:rPr>
                <w:sz w:val="22"/>
                <w:szCs w:val="22"/>
              </w:rPr>
            </w:pPr>
            <w:r w:rsidRPr="00777F22">
              <w:rPr>
                <w:sz w:val="22"/>
                <w:szCs w:val="22"/>
              </w:rPr>
              <w:t xml:space="preserve">- Vụ </w:t>
            </w:r>
            <w:r>
              <w:rPr>
                <w:sz w:val="22"/>
                <w:szCs w:val="22"/>
              </w:rPr>
              <w:t>P</w:t>
            </w:r>
            <w:r w:rsidRPr="00777F22">
              <w:rPr>
                <w:sz w:val="22"/>
                <w:szCs w:val="22"/>
              </w:rPr>
              <w:t xml:space="preserve">háp chế, Bộ Nông nghiệp và Môi trường; </w:t>
            </w:r>
          </w:p>
          <w:p w14:paraId="68E2D13B" w14:textId="77777777" w:rsidR="00F72681" w:rsidRPr="008B7211" w:rsidRDefault="00F72681" w:rsidP="006E7B32">
            <w:pPr>
              <w:jc w:val="both"/>
              <w:rPr>
                <w:sz w:val="22"/>
                <w:szCs w:val="22"/>
                <w:lang w:val="af-ZA"/>
              </w:rPr>
            </w:pPr>
            <w:r w:rsidRPr="008B7211">
              <w:rPr>
                <w:b/>
                <w:bCs/>
                <w:lang w:val="af-ZA"/>
              </w:rPr>
              <w:t>-</w:t>
            </w:r>
            <w:r>
              <w:rPr>
                <w:lang w:val="af-ZA"/>
              </w:rPr>
              <w:t xml:space="preserve"> </w:t>
            </w:r>
            <w:r w:rsidRPr="008B7211">
              <w:rPr>
                <w:sz w:val="22"/>
                <w:szCs w:val="22"/>
                <w:lang w:val="af-ZA"/>
              </w:rPr>
              <w:t>Cục Kiểm tra văn bản và Quản lý xử lý vi</w:t>
            </w:r>
          </w:p>
          <w:p w14:paraId="6081B593" w14:textId="77777777" w:rsidR="00F72681" w:rsidRPr="00F0257E" w:rsidRDefault="00F72681" w:rsidP="006E7B32">
            <w:pPr>
              <w:jc w:val="both"/>
              <w:rPr>
                <w:i/>
                <w:sz w:val="22"/>
                <w:szCs w:val="22"/>
                <w:highlight w:val="white"/>
                <w:lang w:val="af-ZA"/>
              </w:rPr>
            </w:pPr>
            <w:r w:rsidRPr="008B7211">
              <w:rPr>
                <w:sz w:val="22"/>
                <w:szCs w:val="22"/>
                <w:lang w:val="af-ZA"/>
              </w:rPr>
              <w:t>phạm hành chính, Bộ Tư pháp;</w:t>
            </w:r>
          </w:p>
          <w:p w14:paraId="6B1FACE1" w14:textId="77777777" w:rsidR="00F72681" w:rsidRPr="00F0257E" w:rsidRDefault="00F72681" w:rsidP="006E7B32">
            <w:pPr>
              <w:rPr>
                <w:rFonts w:eastAsia="Calibri"/>
                <w:sz w:val="22"/>
                <w:szCs w:val="22"/>
                <w:highlight w:val="white"/>
              </w:rPr>
            </w:pPr>
            <w:r w:rsidRPr="00F0257E">
              <w:rPr>
                <w:rFonts w:eastAsia="Calibri"/>
                <w:sz w:val="22"/>
                <w:szCs w:val="22"/>
                <w:highlight w:val="white"/>
              </w:rPr>
              <w:t>- Thường trực Tỉnh ủy;</w:t>
            </w:r>
            <w:r w:rsidRPr="00F0257E">
              <w:rPr>
                <w:rFonts w:eastAsia="Calibri"/>
                <w:sz w:val="22"/>
                <w:szCs w:val="22"/>
                <w:highlight w:val="white"/>
              </w:rPr>
              <w:br/>
              <w:t>- Thường trực HĐND tỉnh;</w:t>
            </w:r>
            <w:r w:rsidRPr="00F0257E">
              <w:rPr>
                <w:rFonts w:eastAsia="Calibri"/>
                <w:sz w:val="22"/>
                <w:szCs w:val="22"/>
                <w:highlight w:val="white"/>
              </w:rPr>
              <w:br/>
              <w:t>- Chủ tịch, các PCT UBND tỉnh;</w:t>
            </w:r>
          </w:p>
          <w:p w14:paraId="393823D5" w14:textId="77777777" w:rsidR="00F72681" w:rsidRPr="00F0257E" w:rsidRDefault="00F72681" w:rsidP="006E7B32">
            <w:pPr>
              <w:rPr>
                <w:rFonts w:eastAsia="Calibri"/>
                <w:sz w:val="22"/>
                <w:szCs w:val="22"/>
                <w:highlight w:val="white"/>
              </w:rPr>
            </w:pPr>
            <w:r w:rsidRPr="00F0257E">
              <w:rPr>
                <w:rFonts w:eastAsia="Calibri"/>
                <w:sz w:val="22"/>
                <w:szCs w:val="22"/>
                <w:highlight w:val="white"/>
              </w:rPr>
              <w:t>- Ủy ban MTTQVN tỉnh;</w:t>
            </w:r>
          </w:p>
          <w:p w14:paraId="39C37207" w14:textId="77777777" w:rsidR="00F72681" w:rsidRDefault="00F72681" w:rsidP="006E7B32">
            <w:pPr>
              <w:rPr>
                <w:rFonts w:eastAsia="Calibri"/>
                <w:sz w:val="22"/>
                <w:szCs w:val="22"/>
                <w:highlight w:val="white"/>
              </w:rPr>
            </w:pPr>
            <w:r w:rsidRPr="00F0257E">
              <w:rPr>
                <w:rFonts w:eastAsia="Calibri"/>
                <w:sz w:val="22"/>
                <w:szCs w:val="22"/>
                <w:highlight w:val="white"/>
              </w:rPr>
              <w:t>- Đoàn Đại biểu Quốc hội tỉnh;</w:t>
            </w:r>
          </w:p>
          <w:p w14:paraId="19FA539B" w14:textId="77777777" w:rsidR="00F72681" w:rsidRPr="00F0257E" w:rsidRDefault="00F72681" w:rsidP="006E7B32">
            <w:pPr>
              <w:rPr>
                <w:rFonts w:eastAsia="Calibri"/>
                <w:sz w:val="22"/>
                <w:szCs w:val="22"/>
                <w:highlight w:val="white"/>
              </w:rPr>
            </w:pPr>
            <w:r>
              <w:rPr>
                <w:rFonts w:eastAsia="Calibri"/>
                <w:sz w:val="22"/>
                <w:szCs w:val="22"/>
                <w:highlight w:val="white"/>
              </w:rPr>
              <w:t xml:space="preserve">- </w:t>
            </w:r>
            <w:r w:rsidRPr="00CC6C1F">
              <w:rPr>
                <w:rFonts w:eastAsia="Calibri"/>
                <w:sz w:val="22"/>
                <w:szCs w:val="22"/>
              </w:rPr>
              <w:t>Văn phòng Đoàn ĐBQH và HĐND tỉnh;</w:t>
            </w:r>
          </w:p>
          <w:p w14:paraId="33662BB7" w14:textId="77777777" w:rsidR="00F72681" w:rsidRPr="00F0257E" w:rsidRDefault="00F72681" w:rsidP="006E7B32">
            <w:pPr>
              <w:rPr>
                <w:rFonts w:eastAsia="Calibri"/>
                <w:sz w:val="22"/>
                <w:szCs w:val="22"/>
                <w:highlight w:val="white"/>
              </w:rPr>
            </w:pPr>
            <w:r w:rsidRPr="00F0257E">
              <w:rPr>
                <w:rFonts w:eastAsia="Calibri"/>
                <w:sz w:val="22"/>
                <w:szCs w:val="22"/>
                <w:highlight w:val="white"/>
              </w:rPr>
              <w:t xml:space="preserve">- Thường trực HĐND các </w:t>
            </w:r>
            <w:r>
              <w:rPr>
                <w:rFonts w:eastAsia="Calibri"/>
                <w:sz w:val="22"/>
                <w:szCs w:val="22"/>
                <w:highlight w:val="white"/>
              </w:rPr>
              <w:t>xã, phường, đặc khu</w:t>
            </w:r>
            <w:r w:rsidRPr="00F0257E">
              <w:rPr>
                <w:rFonts w:eastAsia="Calibri"/>
                <w:sz w:val="22"/>
                <w:szCs w:val="22"/>
                <w:highlight w:val="white"/>
              </w:rPr>
              <w:t>;</w:t>
            </w:r>
          </w:p>
          <w:p w14:paraId="71A7CD1D" w14:textId="77777777" w:rsidR="00F72681" w:rsidRPr="00F0257E" w:rsidRDefault="00F72681" w:rsidP="006E7B32">
            <w:pPr>
              <w:rPr>
                <w:rFonts w:eastAsia="Calibri"/>
                <w:sz w:val="22"/>
                <w:szCs w:val="22"/>
              </w:rPr>
            </w:pPr>
            <w:r w:rsidRPr="00F0257E">
              <w:rPr>
                <w:rFonts w:eastAsia="Calibri"/>
                <w:sz w:val="22"/>
                <w:szCs w:val="22"/>
                <w:highlight w:val="white"/>
              </w:rPr>
              <w:t>- Sở Tư pháp;</w:t>
            </w:r>
            <w:r w:rsidRPr="00F0257E">
              <w:rPr>
                <w:rFonts w:eastAsia="Calibri"/>
                <w:sz w:val="22"/>
                <w:szCs w:val="22"/>
                <w:highlight w:val="white"/>
              </w:rPr>
              <w:br/>
              <w:t xml:space="preserve">- </w:t>
            </w:r>
            <w:r w:rsidRPr="00CC6C1F">
              <w:rPr>
                <w:rFonts w:eastAsia="Calibri"/>
                <w:sz w:val="22"/>
                <w:szCs w:val="22"/>
              </w:rPr>
              <w:t>Báo và Phát thanh, Truyền hình Quảng Ngãi;</w:t>
            </w:r>
          </w:p>
          <w:p w14:paraId="4D74D63C" w14:textId="77777777" w:rsidR="00F72681" w:rsidRDefault="00F72681" w:rsidP="006E7B32">
            <w:pPr>
              <w:rPr>
                <w:rFonts w:eastAsia="Calibri"/>
                <w:sz w:val="22"/>
                <w:szCs w:val="22"/>
              </w:rPr>
            </w:pPr>
            <w:r w:rsidRPr="00F0257E">
              <w:rPr>
                <w:rFonts w:eastAsia="Calibri"/>
                <w:sz w:val="22"/>
                <w:szCs w:val="22"/>
                <w:highlight w:val="white"/>
              </w:rPr>
              <w:t xml:space="preserve">- </w:t>
            </w:r>
            <w:r w:rsidRPr="00CC6C1F">
              <w:rPr>
                <w:rFonts w:eastAsia="Calibri"/>
                <w:sz w:val="22"/>
                <w:szCs w:val="22"/>
              </w:rPr>
              <w:t>VPUB tỉnh: CVP, các PCVP</w:t>
            </w:r>
            <w:r>
              <w:rPr>
                <w:rFonts w:eastAsia="Calibri"/>
                <w:sz w:val="22"/>
                <w:szCs w:val="22"/>
              </w:rPr>
              <w:t>;</w:t>
            </w:r>
          </w:p>
          <w:p w14:paraId="164B89A6" w14:textId="77777777" w:rsidR="00F72681" w:rsidRPr="00F0257E" w:rsidRDefault="00F72681" w:rsidP="006E7B32">
            <w:pPr>
              <w:rPr>
                <w:rFonts w:eastAsia="Calibri"/>
                <w:sz w:val="22"/>
                <w:szCs w:val="22"/>
                <w:highlight w:val="white"/>
              </w:rPr>
            </w:pPr>
            <w:r>
              <w:rPr>
                <w:rFonts w:eastAsia="Calibri"/>
                <w:sz w:val="22"/>
                <w:szCs w:val="22"/>
                <w:highlight w:val="white"/>
              </w:rPr>
              <w:t xml:space="preserve">- </w:t>
            </w:r>
            <w:r w:rsidRPr="002C64ED">
              <w:rPr>
                <w:rFonts w:eastAsia="Calibri"/>
                <w:sz w:val="22"/>
                <w:szCs w:val="22"/>
              </w:rPr>
              <w:t>Cổng TTĐT tỉnh;</w:t>
            </w:r>
          </w:p>
          <w:p w14:paraId="6AEC7494" w14:textId="77777777" w:rsidR="00F72681" w:rsidRPr="00F0257E" w:rsidRDefault="00F72681" w:rsidP="006E7B32">
            <w:pPr>
              <w:jc w:val="both"/>
              <w:rPr>
                <w:highlight w:val="white"/>
                <w:lang w:val="af-ZA"/>
              </w:rPr>
            </w:pPr>
            <w:r w:rsidRPr="00F0257E">
              <w:rPr>
                <w:rFonts w:eastAsia="Calibri"/>
                <w:sz w:val="22"/>
                <w:szCs w:val="22"/>
                <w:highlight w:val="white"/>
              </w:rPr>
              <w:t>- Lưu: VT, KTTH.</w:t>
            </w:r>
          </w:p>
        </w:tc>
        <w:tc>
          <w:tcPr>
            <w:tcW w:w="4148" w:type="dxa"/>
            <w:tcMar>
              <w:top w:w="0" w:type="dxa"/>
              <w:left w:w="108" w:type="dxa"/>
              <w:bottom w:w="0" w:type="dxa"/>
              <w:right w:w="108" w:type="dxa"/>
            </w:tcMar>
          </w:tcPr>
          <w:p w14:paraId="0C41325A" w14:textId="77777777" w:rsidR="00F72681" w:rsidRPr="00F0257E" w:rsidRDefault="00F72681" w:rsidP="006E7B32">
            <w:pPr>
              <w:jc w:val="center"/>
              <w:rPr>
                <w:b/>
                <w:bCs/>
                <w:sz w:val="28"/>
                <w:szCs w:val="28"/>
                <w:highlight w:val="white"/>
              </w:rPr>
            </w:pPr>
            <w:r w:rsidRPr="00F0257E">
              <w:rPr>
                <w:b/>
                <w:bCs/>
                <w:sz w:val="28"/>
                <w:szCs w:val="28"/>
                <w:highlight w:val="white"/>
              </w:rPr>
              <w:t>TM. ỦY BAN NHÂN DÂN</w:t>
            </w:r>
          </w:p>
          <w:p w14:paraId="3C355F6B" w14:textId="77777777" w:rsidR="00F72681" w:rsidRPr="00F0257E" w:rsidRDefault="00F72681" w:rsidP="006E7B32">
            <w:pPr>
              <w:jc w:val="center"/>
              <w:rPr>
                <w:sz w:val="28"/>
                <w:szCs w:val="28"/>
                <w:highlight w:val="white"/>
              </w:rPr>
            </w:pPr>
            <w:r w:rsidRPr="00F0257E">
              <w:rPr>
                <w:b/>
                <w:bCs/>
                <w:sz w:val="28"/>
                <w:szCs w:val="28"/>
                <w:highlight w:val="white"/>
              </w:rPr>
              <w:t>CHỦ TỊCH</w:t>
            </w:r>
            <w:r w:rsidRPr="00F0257E">
              <w:rPr>
                <w:b/>
                <w:bCs/>
                <w:sz w:val="28"/>
                <w:szCs w:val="28"/>
                <w:highlight w:val="white"/>
              </w:rPr>
              <w:br/>
            </w:r>
            <w:r w:rsidRPr="00F0257E">
              <w:rPr>
                <w:b/>
                <w:bCs/>
                <w:sz w:val="28"/>
                <w:szCs w:val="28"/>
                <w:highlight w:val="white"/>
              </w:rPr>
              <w:br/>
            </w:r>
            <w:r w:rsidRPr="00F0257E">
              <w:rPr>
                <w:b/>
                <w:bCs/>
                <w:sz w:val="28"/>
                <w:szCs w:val="28"/>
                <w:highlight w:val="white"/>
              </w:rPr>
              <w:br/>
            </w:r>
            <w:r w:rsidRPr="00F0257E">
              <w:rPr>
                <w:b/>
                <w:bCs/>
                <w:sz w:val="28"/>
                <w:szCs w:val="28"/>
                <w:highlight w:val="white"/>
              </w:rPr>
              <w:br/>
            </w:r>
          </w:p>
        </w:tc>
      </w:tr>
    </w:tbl>
    <w:p w14:paraId="495FC9C4" w14:textId="77777777" w:rsidR="00F72681" w:rsidRPr="00F0257E" w:rsidRDefault="00F72681" w:rsidP="00F72681">
      <w:pPr>
        <w:rPr>
          <w:highlight w:val="white"/>
        </w:rPr>
      </w:pPr>
    </w:p>
    <w:p w14:paraId="7ACC4CA6" w14:textId="77777777" w:rsidR="00F72681" w:rsidRPr="00F0257E" w:rsidRDefault="00F72681" w:rsidP="00F72681">
      <w:pPr>
        <w:rPr>
          <w:highlight w:val="white"/>
        </w:rPr>
      </w:pPr>
    </w:p>
    <w:p w14:paraId="0AA58474" w14:textId="77777777" w:rsidR="00F72681" w:rsidRPr="00F0257E" w:rsidRDefault="00F72681" w:rsidP="00F72681">
      <w:pPr>
        <w:rPr>
          <w:highlight w:val="white"/>
        </w:rPr>
      </w:pPr>
    </w:p>
    <w:p w14:paraId="79A7085C" w14:textId="77777777" w:rsidR="00DE57D4" w:rsidRPr="00F72681" w:rsidRDefault="00DE57D4" w:rsidP="00F72681"/>
    <w:sectPr w:rsidR="00DE57D4" w:rsidRPr="00F72681" w:rsidSect="00B3769E">
      <w:headerReference w:type="default" r:id="rId7"/>
      <w:pgSz w:w="11907" w:h="16840"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3BCD98" w14:textId="77777777" w:rsidR="00F03E1A" w:rsidRDefault="00F03E1A">
      <w:r>
        <w:separator/>
      </w:r>
    </w:p>
  </w:endnote>
  <w:endnote w:type="continuationSeparator" w:id="0">
    <w:p w14:paraId="5C625A9A" w14:textId="77777777" w:rsidR="00F03E1A" w:rsidRDefault="00F0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92A24" w14:textId="77777777" w:rsidR="00F03E1A" w:rsidRDefault="00F03E1A">
      <w:r>
        <w:separator/>
      </w:r>
    </w:p>
  </w:footnote>
  <w:footnote w:type="continuationSeparator" w:id="0">
    <w:p w14:paraId="1299CE6C" w14:textId="77777777" w:rsidR="00F03E1A" w:rsidRDefault="00F03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85B99" w14:textId="46BE57CA" w:rsidR="009E684C" w:rsidRDefault="002B15CF">
    <w:pPr>
      <w:pStyle w:val="Header"/>
      <w:jc w:val="center"/>
    </w:pPr>
    <w:r>
      <w:fldChar w:fldCharType="begin"/>
    </w:r>
    <w:r>
      <w:instrText xml:space="preserve"> PAGE   \* MERGEFORMAT </w:instrText>
    </w:r>
    <w:r>
      <w:fldChar w:fldCharType="separate"/>
    </w:r>
    <w:r w:rsidR="00426E91">
      <w:rPr>
        <w:noProof/>
      </w:rPr>
      <w:t>5</w:t>
    </w:r>
    <w:r>
      <w:fldChar w:fldCharType="end"/>
    </w:r>
  </w:p>
  <w:p w14:paraId="261EDBE5" w14:textId="77777777" w:rsidR="009E684C" w:rsidRDefault="009E68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69E"/>
    <w:rsid w:val="00005124"/>
    <w:rsid w:val="000401F5"/>
    <w:rsid w:val="00043CC2"/>
    <w:rsid w:val="00056A03"/>
    <w:rsid w:val="00065EEE"/>
    <w:rsid w:val="000924CD"/>
    <w:rsid w:val="000B4CF8"/>
    <w:rsid w:val="00111990"/>
    <w:rsid w:val="00165DBD"/>
    <w:rsid w:val="001809B7"/>
    <w:rsid w:val="00205A75"/>
    <w:rsid w:val="002270DB"/>
    <w:rsid w:val="002456DF"/>
    <w:rsid w:val="00291655"/>
    <w:rsid w:val="002B0B8E"/>
    <w:rsid w:val="002B15CF"/>
    <w:rsid w:val="002C3927"/>
    <w:rsid w:val="002D3151"/>
    <w:rsid w:val="003120F4"/>
    <w:rsid w:val="00356D68"/>
    <w:rsid w:val="00374607"/>
    <w:rsid w:val="003958AC"/>
    <w:rsid w:val="003B616C"/>
    <w:rsid w:val="003C10F9"/>
    <w:rsid w:val="003C32C0"/>
    <w:rsid w:val="003D4A8B"/>
    <w:rsid w:val="003E57C8"/>
    <w:rsid w:val="003F3A1C"/>
    <w:rsid w:val="00410F79"/>
    <w:rsid w:val="00426E91"/>
    <w:rsid w:val="0044465B"/>
    <w:rsid w:val="00446C70"/>
    <w:rsid w:val="00461F72"/>
    <w:rsid w:val="00475959"/>
    <w:rsid w:val="004943F4"/>
    <w:rsid w:val="004E327E"/>
    <w:rsid w:val="004E39EF"/>
    <w:rsid w:val="004F3F40"/>
    <w:rsid w:val="00500A2B"/>
    <w:rsid w:val="00525C1F"/>
    <w:rsid w:val="005436CD"/>
    <w:rsid w:val="00551E29"/>
    <w:rsid w:val="00567AEE"/>
    <w:rsid w:val="00593AE8"/>
    <w:rsid w:val="005A7302"/>
    <w:rsid w:val="005D0CD1"/>
    <w:rsid w:val="0064099C"/>
    <w:rsid w:val="00645C5C"/>
    <w:rsid w:val="00667C18"/>
    <w:rsid w:val="006778E0"/>
    <w:rsid w:val="00691DF7"/>
    <w:rsid w:val="006C102E"/>
    <w:rsid w:val="006C4292"/>
    <w:rsid w:val="006D3BA2"/>
    <w:rsid w:val="006E6E20"/>
    <w:rsid w:val="007432BA"/>
    <w:rsid w:val="00777F22"/>
    <w:rsid w:val="007D49CD"/>
    <w:rsid w:val="007F3212"/>
    <w:rsid w:val="00864AFB"/>
    <w:rsid w:val="00865E85"/>
    <w:rsid w:val="008755F9"/>
    <w:rsid w:val="008B13D1"/>
    <w:rsid w:val="008B7211"/>
    <w:rsid w:val="008C57B6"/>
    <w:rsid w:val="008F786D"/>
    <w:rsid w:val="0095578B"/>
    <w:rsid w:val="00992D1D"/>
    <w:rsid w:val="009E684C"/>
    <w:rsid w:val="009F2A32"/>
    <w:rsid w:val="009F485D"/>
    <w:rsid w:val="00A04757"/>
    <w:rsid w:val="00A140C4"/>
    <w:rsid w:val="00A56461"/>
    <w:rsid w:val="00A63651"/>
    <w:rsid w:val="00A654F5"/>
    <w:rsid w:val="00AA5129"/>
    <w:rsid w:val="00AC618D"/>
    <w:rsid w:val="00AD17C1"/>
    <w:rsid w:val="00AF3540"/>
    <w:rsid w:val="00B10A2F"/>
    <w:rsid w:val="00B15A2D"/>
    <w:rsid w:val="00B17666"/>
    <w:rsid w:val="00B231E9"/>
    <w:rsid w:val="00B26FC4"/>
    <w:rsid w:val="00B3769E"/>
    <w:rsid w:val="00B854A9"/>
    <w:rsid w:val="00B91184"/>
    <w:rsid w:val="00BC3765"/>
    <w:rsid w:val="00BD46EE"/>
    <w:rsid w:val="00C21D85"/>
    <w:rsid w:val="00C87141"/>
    <w:rsid w:val="00CC6C1F"/>
    <w:rsid w:val="00CF215C"/>
    <w:rsid w:val="00D21A01"/>
    <w:rsid w:val="00D85D5A"/>
    <w:rsid w:val="00DA4E2F"/>
    <w:rsid w:val="00DB7B19"/>
    <w:rsid w:val="00DD0772"/>
    <w:rsid w:val="00DD0897"/>
    <w:rsid w:val="00DD68BF"/>
    <w:rsid w:val="00DE57D4"/>
    <w:rsid w:val="00E30EBE"/>
    <w:rsid w:val="00E607E1"/>
    <w:rsid w:val="00E84139"/>
    <w:rsid w:val="00EA1611"/>
    <w:rsid w:val="00ED1F1F"/>
    <w:rsid w:val="00ED20EA"/>
    <w:rsid w:val="00EF578F"/>
    <w:rsid w:val="00EF7B19"/>
    <w:rsid w:val="00F0257E"/>
    <w:rsid w:val="00F034A4"/>
    <w:rsid w:val="00F03E1A"/>
    <w:rsid w:val="00F04E52"/>
    <w:rsid w:val="00F5538B"/>
    <w:rsid w:val="00F72681"/>
    <w:rsid w:val="00FA185A"/>
    <w:rsid w:val="00FB12C6"/>
    <w:rsid w:val="00FD1A9E"/>
    <w:rsid w:val="00FE4ACB"/>
    <w:rsid w:val="00FE4C3F"/>
    <w:rsid w:val="00FE6636"/>
    <w:rsid w:val="00FF6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15C5"/>
  <w15:chartTrackingRefBased/>
  <w15:docId w15:val="{C0E97E2B-9853-4C30-AE90-ED169A073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69E"/>
    <w:pPr>
      <w:spacing w:before="0" w:after="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69E"/>
    <w:pPr>
      <w:tabs>
        <w:tab w:val="center" w:pos="4680"/>
        <w:tab w:val="right" w:pos="9360"/>
      </w:tabs>
    </w:pPr>
    <w:rPr>
      <w:lang w:val="x-none" w:eastAsia="x-none"/>
    </w:rPr>
  </w:style>
  <w:style w:type="character" w:customStyle="1" w:styleId="HeaderChar">
    <w:name w:val="Header Char"/>
    <w:basedOn w:val="DefaultParagraphFont"/>
    <w:link w:val="Header"/>
    <w:uiPriority w:val="99"/>
    <w:rsid w:val="00B3769E"/>
    <w:rPr>
      <w:rFonts w:ascii="Times New Roman" w:eastAsia="Times New Roman" w:hAnsi="Times New Roman" w:cs="Times New Roman"/>
      <w:sz w:val="24"/>
      <w:szCs w:val="24"/>
      <w:lang w:val="x-none" w:eastAsia="x-none"/>
    </w:rPr>
  </w:style>
  <w:style w:type="character" w:customStyle="1" w:styleId="NormalWebChar">
    <w:name w:val="Normal (Web) Char"/>
    <w:link w:val="NormalWeb"/>
    <w:uiPriority w:val="99"/>
    <w:qFormat/>
    <w:locked/>
    <w:rsid w:val="00B3769E"/>
    <w:rPr>
      <w:rFonts w:ascii="VNI-Times" w:hAnsi="VNI-Times" w:cs="VNI-Times"/>
      <w:sz w:val="24"/>
      <w:szCs w:val="24"/>
      <w:lang w:eastAsia="zh-CN"/>
    </w:rPr>
  </w:style>
  <w:style w:type="paragraph" w:styleId="NormalWeb">
    <w:name w:val="Normal (Web)"/>
    <w:basedOn w:val="Normal"/>
    <w:link w:val="NormalWebChar"/>
    <w:uiPriority w:val="99"/>
    <w:qFormat/>
    <w:rsid w:val="00B3769E"/>
    <w:pPr>
      <w:suppressAutoHyphens/>
      <w:spacing w:before="280" w:after="280"/>
    </w:pPr>
    <w:rPr>
      <w:rFonts w:ascii="VNI-Times" w:eastAsiaTheme="minorHAnsi" w:hAnsi="VNI-Times" w:cs="VNI-Times"/>
      <w:lang w:eastAsia="zh-CN"/>
    </w:rPr>
  </w:style>
  <w:style w:type="paragraph" w:styleId="BalloonText">
    <w:name w:val="Balloon Text"/>
    <w:basedOn w:val="Normal"/>
    <w:link w:val="BalloonTextChar"/>
    <w:uiPriority w:val="99"/>
    <w:semiHidden/>
    <w:unhideWhenUsed/>
    <w:rsid w:val="00FE4C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C3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562030">
      <w:bodyDiv w:val="1"/>
      <w:marLeft w:val="0"/>
      <w:marRight w:val="0"/>
      <w:marTop w:val="0"/>
      <w:marBottom w:val="0"/>
      <w:divBdr>
        <w:top w:val="none" w:sz="0" w:space="0" w:color="auto"/>
        <w:left w:val="none" w:sz="0" w:space="0" w:color="auto"/>
        <w:bottom w:val="none" w:sz="0" w:space="0" w:color="auto"/>
        <w:right w:val="none" w:sz="0" w:space="0" w:color="auto"/>
      </w:divBdr>
    </w:div>
    <w:div w:id="102880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79279-8AAA-4F49-8F0B-52529F61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Blong Dat</dc:creator>
  <cp:keywords/>
  <dc:description/>
  <cp:lastModifiedBy>Blong Dat</cp:lastModifiedBy>
  <cp:revision>45</cp:revision>
  <cp:lastPrinted>2024-11-19T06:46:00Z</cp:lastPrinted>
  <dcterms:created xsi:type="dcterms:W3CDTF">2024-09-11T02:34:00Z</dcterms:created>
  <dcterms:modified xsi:type="dcterms:W3CDTF">2025-10-14T08:54:00Z</dcterms:modified>
</cp:coreProperties>
</file>